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imes New Roman" w:hAnsi="Times New Roman" w:cs="Times New Roman"/>
        </w:rPr>
        <w:id w:val="1167437480"/>
        <w:docPartObj>
          <w:docPartGallery w:val="Cover Pages"/>
          <w:docPartUnique/>
        </w:docPartObj>
      </w:sdtPr>
      <w:sdtEndPr>
        <w:rPr>
          <w:b/>
          <w:sz w:val="24"/>
          <w:szCs w:val="24"/>
        </w:rPr>
      </w:sdtEndPr>
      <w:sdtContent>
        <w:p w:rsidR="00032C19" w:rsidRPr="006D3A0F" w:rsidRDefault="00032C19" w:rsidP="00E2276C">
          <w:pPr>
            <w:jc w:val="both"/>
            <w:rPr>
              <w:rFonts w:ascii="Times New Roman" w:hAnsi="Times New Roman" w:cs="Times New Roman"/>
            </w:rPr>
          </w:pPr>
        </w:p>
        <w:tbl>
          <w:tblPr>
            <w:tblpPr w:leftFromText="187" w:rightFromText="187" w:horzAnchor="margin" w:tblpXSpec="center" w:tblpY="2881"/>
            <w:tblW w:w="4000" w:type="pct"/>
            <w:tblBorders>
              <w:left w:val="single" w:sz="12" w:space="0" w:color="5B9BD5" w:themeColor="accent1"/>
            </w:tblBorders>
            <w:tblCellMar>
              <w:left w:w="144" w:type="dxa"/>
              <w:right w:w="115" w:type="dxa"/>
            </w:tblCellMar>
            <w:tblLook w:val="04A0" w:firstRow="1" w:lastRow="0" w:firstColumn="1" w:lastColumn="0" w:noHBand="0" w:noVBand="1"/>
          </w:tblPr>
          <w:tblGrid>
            <w:gridCol w:w="7476"/>
          </w:tblGrid>
          <w:tr w:rsidR="000C52B7" w:rsidRPr="006D3A0F" w:rsidTr="00E2276C">
            <w:trPr>
              <w:trHeight w:val="144"/>
            </w:trPr>
            <w:sdt>
              <w:sdtPr>
                <w:rPr>
                  <w:rFonts w:ascii="Times New Roman" w:hAnsi="Times New Roman" w:cs="Times New Roman"/>
                  <w:color w:val="595959" w:themeColor="text1" w:themeTint="A6"/>
                  <w:sz w:val="24"/>
                  <w:szCs w:val="24"/>
                </w:rPr>
                <w:alias w:val="Company"/>
                <w:id w:val="13406915"/>
                <w:placeholder>
                  <w:docPart w:val="313EC86E1D9F41758E7F003CE4F3095F"/>
                </w:placeholder>
                <w:dataBinding w:prefixMappings="xmlns:ns0='http://schemas.openxmlformats.org/officeDocument/2006/extended-properties'" w:xpath="/ns0:Properties[1]/ns0:Company[1]" w:storeItemID="{6668398D-A668-4E3E-A5EB-62B293D839F1}"/>
                <w:text/>
              </w:sdtPr>
              <w:sdtContent>
                <w:tc>
                  <w:tcPr>
                    <w:tcW w:w="7476" w:type="dxa"/>
                    <w:tcMar>
                      <w:top w:w="216" w:type="dxa"/>
                      <w:left w:w="115" w:type="dxa"/>
                      <w:bottom w:w="216" w:type="dxa"/>
                      <w:right w:w="115" w:type="dxa"/>
                    </w:tcMar>
                  </w:tcPr>
                  <w:p w:rsidR="00032C19" w:rsidRPr="006D3A0F" w:rsidRDefault="0067128D" w:rsidP="00E2276C">
                    <w:pPr>
                      <w:pStyle w:val="NoSpacing"/>
                      <w:jc w:val="both"/>
                      <w:rPr>
                        <w:rFonts w:ascii="Times New Roman" w:hAnsi="Times New Roman" w:cs="Times New Roman"/>
                        <w:color w:val="595959" w:themeColor="text1" w:themeTint="A6"/>
                        <w:sz w:val="24"/>
                      </w:rPr>
                    </w:pPr>
                    <w:r w:rsidRPr="006D3A0F">
                      <w:rPr>
                        <w:rFonts w:ascii="Times New Roman" w:hAnsi="Times New Roman" w:cs="Times New Roman"/>
                        <w:color w:val="595959" w:themeColor="text1" w:themeTint="A6"/>
                        <w:sz w:val="24"/>
                        <w:szCs w:val="24"/>
                      </w:rPr>
                      <w:t>Class Details:</w:t>
                    </w:r>
                  </w:p>
                </w:tc>
              </w:sdtContent>
            </w:sdt>
          </w:tr>
          <w:tr w:rsidR="000C52B7" w:rsidRPr="006D3A0F" w:rsidTr="00E2276C">
            <w:trPr>
              <w:trHeight w:val="3978"/>
            </w:trPr>
            <w:tc>
              <w:tcPr>
                <w:tcW w:w="7476" w:type="dxa"/>
              </w:tcPr>
              <w:sdt>
                <w:sdtPr>
                  <w:rPr>
                    <w:rFonts w:ascii="Times New Roman" w:eastAsiaTheme="majorEastAsia" w:hAnsi="Times New Roman" w:cs="Times New Roman"/>
                    <w:b/>
                    <w:sz w:val="88"/>
                    <w:szCs w:val="88"/>
                  </w:rPr>
                  <w:alias w:val="Title"/>
                  <w:id w:val="13406919"/>
                  <w:placeholder>
                    <w:docPart w:val="3F978DB03D784438B4675D7CE435B43A"/>
                  </w:placeholder>
                  <w:dataBinding w:prefixMappings="xmlns:ns0='http://schemas.openxmlformats.org/package/2006/metadata/core-properties' xmlns:ns1='http://purl.org/dc/elements/1.1/'" w:xpath="/ns0:coreProperties[1]/ns1:title[1]" w:storeItemID="{6C3C8BC8-F283-45AE-878A-BAB7291924A1}"/>
                  <w:text/>
                </w:sdtPr>
                <w:sdtContent>
                  <w:p w:rsidR="00032C19" w:rsidRPr="006D3A0F" w:rsidRDefault="0024740B" w:rsidP="00E2276C">
                    <w:pPr>
                      <w:pStyle w:val="NoSpacing"/>
                      <w:spacing w:line="216" w:lineRule="auto"/>
                      <w:jc w:val="both"/>
                      <w:rPr>
                        <w:rFonts w:ascii="Times New Roman" w:eastAsiaTheme="majorEastAsia" w:hAnsi="Times New Roman" w:cs="Times New Roman"/>
                        <w:color w:val="595959" w:themeColor="text1" w:themeTint="A6"/>
                        <w:sz w:val="88"/>
                        <w:szCs w:val="88"/>
                      </w:rPr>
                    </w:pPr>
                    <w:r w:rsidRPr="0024740B">
                      <w:rPr>
                        <w:rFonts w:ascii="Times New Roman" w:eastAsiaTheme="majorEastAsia" w:hAnsi="Times New Roman" w:cs="Times New Roman"/>
                        <w:b/>
                        <w:sz w:val="88"/>
                        <w:szCs w:val="88"/>
                      </w:rPr>
                      <w:t>ESG Performance Management through F</w:t>
                    </w:r>
                    <w:r w:rsidR="00BD71E1" w:rsidRPr="0024740B">
                      <w:rPr>
                        <w:rFonts w:ascii="Times New Roman" w:eastAsiaTheme="majorEastAsia" w:hAnsi="Times New Roman" w:cs="Times New Roman"/>
                        <w:b/>
                        <w:sz w:val="88"/>
                        <w:szCs w:val="88"/>
                      </w:rPr>
                      <w:t>inanc</w:t>
                    </w:r>
                    <w:r w:rsidRPr="0024740B">
                      <w:rPr>
                        <w:rFonts w:ascii="Times New Roman" w:eastAsiaTheme="majorEastAsia" w:hAnsi="Times New Roman" w:cs="Times New Roman"/>
                        <w:b/>
                        <w:sz w:val="88"/>
                        <w:szCs w:val="88"/>
                      </w:rPr>
                      <w:t>ial Investment in the European C</w:t>
                    </w:r>
                    <w:r w:rsidR="00BD71E1" w:rsidRPr="0024740B">
                      <w:rPr>
                        <w:rFonts w:ascii="Times New Roman" w:eastAsiaTheme="majorEastAsia" w:hAnsi="Times New Roman" w:cs="Times New Roman"/>
                        <w:b/>
                        <w:sz w:val="88"/>
                        <w:szCs w:val="88"/>
                      </w:rPr>
                      <w:t>ontext</w:t>
                    </w:r>
                    <w:r w:rsidRPr="0024740B">
                      <w:rPr>
                        <w:rFonts w:ascii="Times New Roman" w:eastAsiaTheme="majorEastAsia" w:hAnsi="Times New Roman" w:cs="Times New Roman"/>
                        <w:b/>
                        <w:sz w:val="88"/>
                        <w:szCs w:val="88"/>
                      </w:rPr>
                      <w:t>.</w:t>
                    </w:r>
                  </w:p>
                </w:sdtContent>
              </w:sdt>
            </w:tc>
          </w:tr>
          <w:tr w:rsidR="000C52B7" w:rsidRPr="006D3A0F" w:rsidTr="009B2FDB">
            <w:sdt>
              <w:sdtPr>
                <w:rPr>
                  <w:rFonts w:ascii="Times New Roman" w:hAnsi="Times New Roman" w:cs="Times New Roman"/>
                  <w:color w:val="595959" w:themeColor="text1" w:themeTint="A6"/>
                  <w:sz w:val="24"/>
                  <w:szCs w:val="24"/>
                </w:rPr>
                <w:alias w:val="Subtitle"/>
                <w:id w:val="13406923"/>
                <w:placeholder>
                  <w:docPart w:val="B0A16FAFA5254921A3DB8B426F54A8DC"/>
                </w:placeholder>
                <w:dataBinding w:prefixMappings="xmlns:ns0='http://schemas.openxmlformats.org/package/2006/metadata/core-properties' xmlns:ns1='http://purl.org/dc/elements/1.1/'" w:xpath="/ns0:coreProperties[1]/ns1:subject[1]" w:storeItemID="{6C3C8BC8-F283-45AE-878A-BAB7291924A1}"/>
                <w:text/>
              </w:sdtPr>
              <w:sdtContent>
                <w:tc>
                  <w:tcPr>
                    <w:tcW w:w="7476" w:type="dxa"/>
                    <w:tcMar>
                      <w:top w:w="216" w:type="dxa"/>
                      <w:left w:w="115" w:type="dxa"/>
                      <w:bottom w:w="216" w:type="dxa"/>
                      <w:right w:w="115" w:type="dxa"/>
                    </w:tcMar>
                  </w:tcPr>
                  <w:p w:rsidR="00032C19" w:rsidRPr="006D3A0F" w:rsidRDefault="00BD71E1" w:rsidP="00E2276C">
                    <w:pPr>
                      <w:pStyle w:val="NoSpacing"/>
                      <w:jc w:val="both"/>
                      <w:rPr>
                        <w:rFonts w:ascii="Times New Roman" w:hAnsi="Times New Roman" w:cs="Times New Roman"/>
                        <w:color w:val="595959" w:themeColor="text1" w:themeTint="A6"/>
                        <w:sz w:val="24"/>
                      </w:rPr>
                    </w:pPr>
                    <w:r w:rsidRPr="006D3A0F">
                      <w:rPr>
                        <w:rFonts w:ascii="Times New Roman" w:hAnsi="Times New Roman" w:cs="Times New Roman"/>
                        <w:color w:val="595959" w:themeColor="text1" w:themeTint="A6"/>
                        <w:sz w:val="24"/>
                        <w:szCs w:val="24"/>
                      </w:rPr>
                      <w:t>Student Name:</w:t>
                    </w:r>
                  </w:p>
                </w:tc>
              </w:sdtContent>
            </w:sdt>
          </w:tr>
        </w:tbl>
        <w:p w:rsidR="008A16E9" w:rsidRDefault="008A16E9" w:rsidP="00E2276C">
          <w:pPr>
            <w:jc w:val="both"/>
            <w:rPr>
              <w:rFonts w:ascii="Times New Roman" w:hAnsi="Times New Roman" w:cs="Times New Roman"/>
              <w:b/>
              <w:sz w:val="24"/>
              <w:szCs w:val="24"/>
            </w:rPr>
          </w:pPr>
        </w:p>
        <w:p w:rsidR="008A16E9" w:rsidRDefault="008A16E9" w:rsidP="008A16E9">
          <w:r>
            <w:br w:type="page"/>
          </w:r>
        </w:p>
        <w:p w:rsidR="008A16E9" w:rsidRPr="00B320BE" w:rsidRDefault="008A16E9" w:rsidP="008A16E9">
          <w:pPr>
            <w:pStyle w:val="Heading1"/>
            <w:spacing w:line="360" w:lineRule="auto"/>
            <w:jc w:val="both"/>
            <w:rPr>
              <w:rFonts w:ascii="Times New Roman" w:hAnsi="Times New Roman" w:cs="Times New Roman"/>
              <w:b/>
              <w:color w:val="000000" w:themeColor="text1"/>
              <w:sz w:val="24"/>
              <w:szCs w:val="24"/>
            </w:rPr>
          </w:pPr>
          <w:bookmarkStart w:id="0" w:name="_Toc156676247"/>
          <w:bookmarkStart w:id="1" w:name="_Toc156845961"/>
          <w:r w:rsidRPr="00B320BE">
            <w:rPr>
              <w:rFonts w:ascii="Times New Roman" w:hAnsi="Times New Roman" w:cs="Times New Roman"/>
              <w:b/>
              <w:color w:val="000000" w:themeColor="text1"/>
              <w:sz w:val="24"/>
              <w:szCs w:val="24"/>
            </w:rPr>
            <w:lastRenderedPageBreak/>
            <w:t>Abstract</w:t>
          </w:r>
          <w:bookmarkEnd w:id="0"/>
          <w:bookmarkEnd w:id="1"/>
        </w:p>
        <w:p w:rsidR="008A16E9" w:rsidRPr="00B320BE" w:rsidRDefault="008A16E9" w:rsidP="008A16E9">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financial industry sector has been faced massive challenge in recent years due to global cries due to the Ukraine vs Russian war and Covid 19 impacts. The concept of ESG (Environmental, Social, and Governance) performance management refers to the practice of organizations considering the impact of their actions and decisions on the planet, society, and their governance. It has become crucial in today's world, where climate change, social inequality, and corporate accountability have come to the forefront of public discourse. Investors can use their financial power to encourage organizations to prioritize ESG practices. By investing in companies that score high in ESG ratings, they can influence the market to promote a more sustainable and responsible approach to business. The current state of EGS investing in Europe has grown rapidly in Europe in recent years, with assets expected to exceed €7 trillion by 2025, driven by increasing awareness of sustainability issues and changing consumer preferences. European Union regulations such as the Sustainable Finance Disclosure Regulation (SFDR) and the EU Taxonomy have created a framework for standardizing ESG disclosures and defining sustainable economic activities. However, several challenges remain, such as a lack of standardized ESG metrics, skepticism about the real impact of ESG investments, and greenwashing by companies that exaggerate their sustainability credentials. </w:t>
          </w:r>
        </w:p>
        <w:p w:rsidR="008A16E9" w:rsidRDefault="008A16E9" w:rsidP="008A16E9">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Because of these challenges and opportunities, there is a requirement to investigate the financial sector drivers towards ESG performance. The scope of this project is limited to the European countries including UK and ESG performance analysis is carried out based on the top five banking companies aligning to the top five banking components of STOXX® EUROPE ESG LEADERS 50 INDEX. The thesis focuses on a comprehensive literature review to identify the background theories and practices in the financial sector. As a result, the SWOT analysis will perform to overcome the challenges and effectively use the identified opportunities to improve the level of performance in the financial sector. </w:t>
          </w:r>
        </w:p>
        <w:p w:rsidR="00FC68BF" w:rsidRPr="00B320BE" w:rsidRDefault="00FC68BF" w:rsidP="008A16E9">
          <w:pPr>
            <w:spacing w:line="360" w:lineRule="auto"/>
            <w:jc w:val="both"/>
            <w:rPr>
              <w:rFonts w:ascii="Times New Roman" w:hAnsi="Times New Roman" w:cs="Times New Roman"/>
              <w:color w:val="000000" w:themeColor="text1"/>
              <w:sz w:val="24"/>
              <w:szCs w:val="24"/>
            </w:rPr>
          </w:pPr>
        </w:p>
        <w:p w:rsidR="008A16E9" w:rsidRPr="00B320BE" w:rsidRDefault="008A16E9" w:rsidP="008A16E9">
          <w:pPr>
            <w:spacing w:line="360" w:lineRule="auto"/>
            <w:jc w:val="both"/>
            <w:rPr>
              <w:rFonts w:ascii="Times New Roman" w:hAnsi="Times New Roman" w:cs="Times New Roman"/>
              <w:b/>
              <w:color w:val="000000" w:themeColor="text1"/>
              <w:sz w:val="24"/>
              <w:szCs w:val="24"/>
            </w:rPr>
          </w:pPr>
          <w:r w:rsidRPr="00B320BE">
            <w:rPr>
              <w:rFonts w:ascii="Times New Roman" w:hAnsi="Times New Roman" w:cs="Times New Roman"/>
              <w:b/>
              <w:color w:val="000000" w:themeColor="text1"/>
              <w:sz w:val="24"/>
              <w:szCs w:val="24"/>
            </w:rPr>
            <w:t xml:space="preserve">Keywords: </w:t>
          </w:r>
          <w:r w:rsidRPr="00B320BE">
            <w:rPr>
              <w:rFonts w:ascii="Times New Roman" w:hAnsi="Times New Roman" w:cs="Times New Roman"/>
              <w:color w:val="000000" w:themeColor="text1"/>
              <w:sz w:val="24"/>
              <w:szCs w:val="24"/>
            </w:rPr>
            <w:t>ESG, financial performance, financial sector, challenges, and opportunities.</w:t>
          </w:r>
        </w:p>
        <w:p w:rsidR="008A16E9" w:rsidRDefault="008A16E9" w:rsidP="008A16E9">
          <w:pPr>
            <w:pStyle w:val="TOC1"/>
          </w:pPr>
        </w:p>
        <w:p w:rsidR="008A16E9" w:rsidRPr="008A16E9" w:rsidRDefault="008A16E9" w:rsidP="008A16E9">
          <w:pPr>
            <w:pStyle w:val="TOC1"/>
            <w:rPr>
              <w:b w:val="0"/>
            </w:rPr>
          </w:pPr>
        </w:p>
        <w:sdt>
          <w:sdtPr>
            <w:rPr>
              <w:rFonts w:ascii="Times New Roman" w:eastAsiaTheme="minorHAnsi" w:hAnsi="Times New Roman" w:cs="Times New Roman"/>
              <w:b/>
              <w:color w:val="auto"/>
              <w:sz w:val="24"/>
              <w:szCs w:val="24"/>
            </w:rPr>
            <w:id w:val="-1338374717"/>
            <w:docPartObj>
              <w:docPartGallery w:val="Table of Contents"/>
              <w:docPartUnique/>
            </w:docPartObj>
          </w:sdtPr>
          <w:sdtEndPr>
            <w:rPr>
              <w:b w:val="0"/>
              <w:bCs/>
              <w:noProof/>
            </w:rPr>
          </w:sdtEndPr>
          <w:sdtContent>
            <w:p w:rsidR="008A16E9" w:rsidRPr="0006108C" w:rsidRDefault="0024740B" w:rsidP="0006108C">
              <w:pPr>
                <w:pStyle w:val="TOCHeading"/>
                <w:spacing w:line="276" w:lineRule="auto"/>
                <w:jc w:val="both"/>
                <w:rPr>
                  <w:rFonts w:ascii="Times New Roman" w:hAnsi="Times New Roman" w:cs="Times New Roman"/>
                  <w:b/>
                  <w:color w:val="000000" w:themeColor="text1"/>
                  <w:sz w:val="24"/>
                  <w:szCs w:val="24"/>
                </w:rPr>
              </w:pPr>
              <w:r w:rsidRPr="0006108C">
                <w:rPr>
                  <w:rFonts w:ascii="Times New Roman" w:eastAsiaTheme="minorHAnsi" w:hAnsi="Times New Roman" w:cs="Times New Roman"/>
                  <w:b/>
                  <w:color w:val="auto"/>
                  <w:sz w:val="24"/>
                  <w:szCs w:val="24"/>
                </w:rPr>
                <w:t xml:space="preserve">Table of </w:t>
              </w:r>
              <w:r w:rsidR="008A16E9" w:rsidRPr="0006108C">
                <w:rPr>
                  <w:rFonts w:ascii="Times New Roman" w:hAnsi="Times New Roman" w:cs="Times New Roman"/>
                  <w:b/>
                  <w:color w:val="000000" w:themeColor="text1"/>
                  <w:sz w:val="24"/>
                  <w:szCs w:val="24"/>
                </w:rPr>
                <w:t>Contents</w:t>
              </w:r>
            </w:p>
            <w:p w:rsidR="00493216" w:rsidRPr="0006108C" w:rsidRDefault="00493216" w:rsidP="0006108C">
              <w:pPr>
                <w:spacing w:line="276" w:lineRule="auto"/>
                <w:jc w:val="both"/>
                <w:rPr>
                  <w:rFonts w:ascii="Times New Roman" w:hAnsi="Times New Roman" w:cs="Times New Roman"/>
                  <w:sz w:val="24"/>
                  <w:szCs w:val="24"/>
                </w:rPr>
              </w:pPr>
            </w:p>
            <w:p w:rsidR="007929E6" w:rsidRPr="007929E6" w:rsidRDefault="008A16E9">
              <w:pPr>
                <w:pStyle w:val="TOC1"/>
                <w:rPr>
                  <w:rFonts w:asciiTheme="minorHAnsi" w:eastAsiaTheme="minorEastAsia" w:hAnsiTheme="minorHAnsi" w:cstheme="minorBidi"/>
                  <w:b w:val="0"/>
                  <w:noProof/>
                  <w:sz w:val="22"/>
                  <w:szCs w:val="22"/>
                </w:rPr>
              </w:pPr>
              <w:r w:rsidRPr="0006108C">
                <w:rPr>
                  <w:b w:val="0"/>
                </w:rPr>
                <w:fldChar w:fldCharType="begin"/>
              </w:r>
              <w:r w:rsidRPr="0006108C">
                <w:rPr>
                  <w:b w:val="0"/>
                </w:rPr>
                <w:instrText xml:space="preserve"> TOC \o "1-3" \h \z \u </w:instrText>
              </w:r>
              <w:r w:rsidRPr="0006108C">
                <w:rPr>
                  <w:b w:val="0"/>
                </w:rPr>
                <w:fldChar w:fldCharType="separate"/>
              </w:r>
              <w:hyperlink w:anchor="_Toc156845961" w:history="1">
                <w:r w:rsidR="007929E6" w:rsidRPr="007929E6">
                  <w:rPr>
                    <w:rStyle w:val="Hyperlink"/>
                    <w:b w:val="0"/>
                    <w:noProof/>
                  </w:rPr>
                  <w:t>Abstract</w:t>
                </w:r>
                <w:r w:rsidR="007929E6" w:rsidRPr="007929E6">
                  <w:rPr>
                    <w:b w:val="0"/>
                    <w:noProof/>
                    <w:webHidden/>
                  </w:rPr>
                  <w:tab/>
                </w:r>
                <w:r w:rsidR="007929E6" w:rsidRPr="007929E6">
                  <w:rPr>
                    <w:b w:val="0"/>
                    <w:noProof/>
                    <w:webHidden/>
                  </w:rPr>
                  <w:fldChar w:fldCharType="begin"/>
                </w:r>
                <w:r w:rsidR="007929E6" w:rsidRPr="007929E6">
                  <w:rPr>
                    <w:b w:val="0"/>
                    <w:noProof/>
                    <w:webHidden/>
                  </w:rPr>
                  <w:instrText xml:space="preserve"> PAGEREF _Toc156845961 \h </w:instrText>
                </w:r>
                <w:r w:rsidR="007929E6" w:rsidRPr="007929E6">
                  <w:rPr>
                    <w:b w:val="0"/>
                    <w:noProof/>
                    <w:webHidden/>
                  </w:rPr>
                </w:r>
                <w:r w:rsidR="007929E6" w:rsidRPr="007929E6">
                  <w:rPr>
                    <w:b w:val="0"/>
                    <w:noProof/>
                    <w:webHidden/>
                  </w:rPr>
                  <w:fldChar w:fldCharType="separate"/>
                </w:r>
                <w:r w:rsidR="007929E6" w:rsidRPr="007929E6">
                  <w:rPr>
                    <w:b w:val="0"/>
                    <w:noProof/>
                    <w:webHidden/>
                  </w:rPr>
                  <w:t>1</w:t>
                </w:r>
                <w:r w:rsidR="007929E6"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62" w:history="1">
                <w:r w:rsidRPr="007929E6">
                  <w:rPr>
                    <w:rStyle w:val="Hyperlink"/>
                    <w:b w:val="0"/>
                    <w:noProof/>
                  </w:rPr>
                  <w:t>Abbreviations</w:t>
                </w:r>
                <w:r w:rsidRPr="007929E6">
                  <w:rPr>
                    <w:b w:val="0"/>
                    <w:noProof/>
                    <w:webHidden/>
                  </w:rPr>
                  <w:tab/>
                </w:r>
                <w:r w:rsidRPr="007929E6">
                  <w:rPr>
                    <w:b w:val="0"/>
                    <w:noProof/>
                    <w:webHidden/>
                  </w:rPr>
                  <w:fldChar w:fldCharType="begin"/>
                </w:r>
                <w:r w:rsidRPr="007929E6">
                  <w:rPr>
                    <w:b w:val="0"/>
                    <w:noProof/>
                    <w:webHidden/>
                  </w:rPr>
                  <w:instrText xml:space="preserve"> PAGEREF _Toc156845962 \h </w:instrText>
                </w:r>
                <w:r w:rsidRPr="007929E6">
                  <w:rPr>
                    <w:b w:val="0"/>
                    <w:noProof/>
                    <w:webHidden/>
                  </w:rPr>
                </w:r>
                <w:r w:rsidRPr="007929E6">
                  <w:rPr>
                    <w:b w:val="0"/>
                    <w:noProof/>
                    <w:webHidden/>
                  </w:rPr>
                  <w:fldChar w:fldCharType="separate"/>
                </w:r>
                <w:r w:rsidRPr="007929E6">
                  <w:rPr>
                    <w:b w:val="0"/>
                    <w:noProof/>
                    <w:webHidden/>
                  </w:rPr>
                  <w:t>7</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63" w:history="1">
                <w:r w:rsidRPr="007929E6">
                  <w:rPr>
                    <w:rStyle w:val="Hyperlink"/>
                    <w:b w:val="0"/>
                    <w:noProof/>
                  </w:rPr>
                  <w:t>Introduction</w:t>
                </w:r>
                <w:r w:rsidRPr="007929E6">
                  <w:rPr>
                    <w:b w:val="0"/>
                    <w:noProof/>
                    <w:webHidden/>
                  </w:rPr>
                  <w:tab/>
                </w:r>
                <w:r w:rsidRPr="007929E6">
                  <w:rPr>
                    <w:b w:val="0"/>
                    <w:noProof/>
                    <w:webHidden/>
                  </w:rPr>
                  <w:fldChar w:fldCharType="begin"/>
                </w:r>
                <w:r w:rsidRPr="007929E6">
                  <w:rPr>
                    <w:b w:val="0"/>
                    <w:noProof/>
                    <w:webHidden/>
                  </w:rPr>
                  <w:instrText xml:space="preserve"> PAGEREF _Toc156845963 \h </w:instrText>
                </w:r>
                <w:r w:rsidRPr="007929E6">
                  <w:rPr>
                    <w:b w:val="0"/>
                    <w:noProof/>
                    <w:webHidden/>
                  </w:rPr>
                </w:r>
                <w:r w:rsidRPr="007929E6">
                  <w:rPr>
                    <w:b w:val="0"/>
                    <w:noProof/>
                    <w:webHidden/>
                  </w:rPr>
                  <w:fldChar w:fldCharType="separate"/>
                </w:r>
                <w:r w:rsidRPr="007929E6">
                  <w:rPr>
                    <w:b w:val="0"/>
                    <w:noProof/>
                    <w:webHidden/>
                  </w:rPr>
                  <w:t>9</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64" w:history="1">
                <w:r w:rsidRPr="007929E6">
                  <w:rPr>
                    <w:rStyle w:val="Hyperlink"/>
                    <w:b w:val="0"/>
                    <w:noProof/>
                  </w:rPr>
                  <w:t>The goal of the Paper</w:t>
                </w:r>
                <w:r w:rsidRPr="007929E6">
                  <w:rPr>
                    <w:b w:val="0"/>
                    <w:noProof/>
                    <w:webHidden/>
                  </w:rPr>
                  <w:tab/>
                </w:r>
                <w:r w:rsidRPr="007929E6">
                  <w:rPr>
                    <w:b w:val="0"/>
                    <w:noProof/>
                    <w:webHidden/>
                  </w:rPr>
                  <w:fldChar w:fldCharType="begin"/>
                </w:r>
                <w:r w:rsidRPr="007929E6">
                  <w:rPr>
                    <w:b w:val="0"/>
                    <w:noProof/>
                    <w:webHidden/>
                  </w:rPr>
                  <w:instrText xml:space="preserve"> PAGEREF _Toc156845964 \h </w:instrText>
                </w:r>
                <w:r w:rsidRPr="007929E6">
                  <w:rPr>
                    <w:b w:val="0"/>
                    <w:noProof/>
                    <w:webHidden/>
                  </w:rPr>
                </w:r>
                <w:r w:rsidRPr="007929E6">
                  <w:rPr>
                    <w:b w:val="0"/>
                    <w:noProof/>
                    <w:webHidden/>
                  </w:rPr>
                  <w:fldChar w:fldCharType="separate"/>
                </w:r>
                <w:r w:rsidRPr="007929E6">
                  <w:rPr>
                    <w:b w:val="0"/>
                    <w:noProof/>
                    <w:webHidden/>
                  </w:rPr>
                  <w:t>9</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65" w:history="1">
                <w:r w:rsidRPr="007929E6">
                  <w:rPr>
                    <w:rStyle w:val="Hyperlink"/>
                    <w:b w:val="0"/>
                    <w:noProof/>
                  </w:rPr>
                  <w:t>Background</w:t>
                </w:r>
                <w:r w:rsidRPr="007929E6">
                  <w:rPr>
                    <w:b w:val="0"/>
                    <w:noProof/>
                    <w:webHidden/>
                  </w:rPr>
                  <w:tab/>
                </w:r>
                <w:r w:rsidRPr="007929E6">
                  <w:rPr>
                    <w:b w:val="0"/>
                    <w:noProof/>
                    <w:webHidden/>
                  </w:rPr>
                  <w:fldChar w:fldCharType="begin"/>
                </w:r>
                <w:r w:rsidRPr="007929E6">
                  <w:rPr>
                    <w:b w:val="0"/>
                    <w:noProof/>
                    <w:webHidden/>
                  </w:rPr>
                  <w:instrText xml:space="preserve"> PAGEREF _Toc156845965 \h </w:instrText>
                </w:r>
                <w:r w:rsidRPr="007929E6">
                  <w:rPr>
                    <w:b w:val="0"/>
                    <w:noProof/>
                    <w:webHidden/>
                  </w:rPr>
                </w:r>
                <w:r w:rsidRPr="007929E6">
                  <w:rPr>
                    <w:b w:val="0"/>
                    <w:noProof/>
                    <w:webHidden/>
                  </w:rPr>
                  <w:fldChar w:fldCharType="separate"/>
                </w:r>
                <w:r w:rsidRPr="007929E6">
                  <w:rPr>
                    <w:b w:val="0"/>
                    <w:noProof/>
                    <w:webHidden/>
                  </w:rPr>
                  <w:t>10</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66" w:history="1">
                <w:r w:rsidRPr="007929E6">
                  <w:rPr>
                    <w:rStyle w:val="Hyperlink"/>
                    <w:b w:val="0"/>
                    <w:noProof/>
                  </w:rPr>
                  <w:t>Previous Works</w:t>
                </w:r>
                <w:r w:rsidRPr="007929E6">
                  <w:rPr>
                    <w:b w:val="0"/>
                    <w:noProof/>
                    <w:webHidden/>
                  </w:rPr>
                  <w:tab/>
                </w:r>
                <w:r w:rsidRPr="007929E6">
                  <w:rPr>
                    <w:b w:val="0"/>
                    <w:noProof/>
                    <w:webHidden/>
                  </w:rPr>
                  <w:fldChar w:fldCharType="begin"/>
                </w:r>
                <w:r w:rsidRPr="007929E6">
                  <w:rPr>
                    <w:b w:val="0"/>
                    <w:noProof/>
                    <w:webHidden/>
                  </w:rPr>
                  <w:instrText xml:space="preserve"> PAGEREF _Toc156845966 \h </w:instrText>
                </w:r>
                <w:r w:rsidRPr="007929E6">
                  <w:rPr>
                    <w:b w:val="0"/>
                    <w:noProof/>
                    <w:webHidden/>
                  </w:rPr>
                </w:r>
                <w:r w:rsidRPr="007929E6">
                  <w:rPr>
                    <w:b w:val="0"/>
                    <w:noProof/>
                    <w:webHidden/>
                  </w:rPr>
                  <w:fldChar w:fldCharType="separate"/>
                </w:r>
                <w:r w:rsidRPr="007929E6">
                  <w:rPr>
                    <w:b w:val="0"/>
                    <w:noProof/>
                    <w:webHidden/>
                  </w:rPr>
                  <w:t>10</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67" w:history="1">
                <w:r w:rsidRPr="007929E6">
                  <w:rPr>
                    <w:rStyle w:val="Hyperlink"/>
                    <w:b w:val="0"/>
                    <w:noProof/>
                  </w:rPr>
                  <w:t>Scope of the Paper</w:t>
                </w:r>
                <w:r w:rsidRPr="007929E6">
                  <w:rPr>
                    <w:b w:val="0"/>
                    <w:noProof/>
                    <w:webHidden/>
                  </w:rPr>
                  <w:tab/>
                </w:r>
                <w:r w:rsidRPr="007929E6">
                  <w:rPr>
                    <w:b w:val="0"/>
                    <w:noProof/>
                    <w:webHidden/>
                  </w:rPr>
                  <w:fldChar w:fldCharType="begin"/>
                </w:r>
                <w:r w:rsidRPr="007929E6">
                  <w:rPr>
                    <w:b w:val="0"/>
                    <w:noProof/>
                    <w:webHidden/>
                  </w:rPr>
                  <w:instrText xml:space="preserve"> PAGEREF _Toc156845967 \h </w:instrText>
                </w:r>
                <w:r w:rsidRPr="007929E6">
                  <w:rPr>
                    <w:b w:val="0"/>
                    <w:noProof/>
                    <w:webHidden/>
                  </w:rPr>
                </w:r>
                <w:r w:rsidRPr="007929E6">
                  <w:rPr>
                    <w:b w:val="0"/>
                    <w:noProof/>
                    <w:webHidden/>
                  </w:rPr>
                  <w:fldChar w:fldCharType="separate"/>
                </w:r>
                <w:r w:rsidRPr="007929E6">
                  <w:rPr>
                    <w:b w:val="0"/>
                    <w:noProof/>
                    <w:webHidden/>
                  </w:rPr>
                  <w:t>11</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68" w:history="1">
                <w:r w:rsidRPr="007929E6">
                  <w:rPr>
                    <w:rStyle w:val="Hyperlink"/>
                    <w:b w:val="0"/>
                    <w:noProof/>
                  </w:rPr>
                  <w:t>Roadmap to the Content</w:t>
                </w:r>
                <w:r w:rsidRPr="007929E6">
                  <w:rPr>
                    <w:b w:val="0"/>
                    <w:noProof/>
                    <w:webHidden/>
                  </w:rPr>
                  <w:tab/>
                </w:r>
                <w:r w:rsidRPr="007929E6">
                  <w:rPr>
                    <w:b w:val="0"/>
                    <w:noProof/>
                    <w:webHidden/>
                  </w:rPr>
                  <w:fldChar w:fldCharType="begin"/>
                </w:r>
                <w:r w:rsidRPr="007929E6">
                  <w:rPr>
                    <w:b w:val="0"/>
                    <w:noProof/>
                    <w:webHidden/>
                  </w:rPr>
                  <w:instrText xml:space="preserve"> PAGEREF _Toc156845968 \h </w:instrText>
                </w:r>
                <w:r w:rsidRPr="007929E6">
                  <w:rPr>
                    <w:b w:val="0"/>
                    <w:noProof/>
                    <w:webHidden/>
                  </w:rPr>
                </w:r>
                <w:r w:rsidRPr="007929E6">
                  <w:rPr>
                    <w:b w:val="0"/>
                    <w:noProof/>
                    <w:webHidden/>
                  </w:rPr>
                  <w:fldChar w:fldCharType="separate"/>
                </w:r>
                <w:r w:rsidRPr="007929E6">
                  <w:rPr>
                    <w:b w:val="0"/>
                    <w:noProof/>
                    <w:webHidden/>
                  </w:rPr>
                  <w:t>11</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69" w:history="1">
                <w:r w:rsidRPr="007929E6">
                  <w:rPr>
                    <w:rStyle w:val="Hyperlink"/>
                    <w:b w:val="0"/>
                    <w:noProof/>
                  </w:rPr>
                  <w:t>Chapter: 1</w:t>
                </w:r>
                <w:r w:rsidRPr="007929E6">
                  <w:rPr>
                    <w:b w:val="0"/>
                    <w:noProof/>
                    <w:webHidden/>
                  </w:rPr>
                  <w:tab/>
                </w:r>
                <w:r w:rsidRPr="007929E6">
                  <w:rPr>
                    <w:b w:val="0"/>
                    <w:noProof/>
                    <w:webHidden/>
                  </w:rPr>
                  <w:fldChar w:fldCharType="begin"/>
                </w:r>
                <w:r w:rsidRPr="007929E6">
                  <w:rPr>
                    <w:b w:val="0"/>
                    <w:noProof/>
                    <w:webHidden/>
                  </w:rPr>
                  <w:instrText xml:space="preserve"> PAGEREF _Toc156845969 \h </w:instrText>
                </w:r>
                <w:r w:rsidRPr="007929E6">
                  <w:rPr>
                    <w:b w:val="0"/>
                    <w:noProof/>
                    <w:webHidden/>
                  </w:rPr>
                </w:r>
                <w:r w:rsidRPr="007929E6">
                  <w:rPr>
                    <w:b w:val="0"/>
                    <w:noProof/>
                    <w:webHidden/>
                  </w:rPr>
                  <w:fldChar w:fldCharType="separate"/>
                </w:r>
                <w:r w:rsidRPr="007929E6">
                  <w:rPr>
                    <w:b w:val="0"/>
                    <w:noProof/>
                    <w:webHidden/>
                  </w:rPr>
                  <w:t>14</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70" w:history="1">
                <w:r w:rsidRPr="007929E6">
                  <w:rPr>
                    <w:rStyle w:val="Hyperlink"/>
                    <w:b w:val="0"/>
                    <w:noProof/>
                  </w:rPr>
                  <w:t>Literature Review</w:t>
                </w:r>
                <w:r w:rsidRPr="007929E6">
                  <w:rPr>
                    <w:b w:val="0"/>
                    <w:noProof/>
                    <w:webHidden/>
                  </w:rPr>
                  <w:tab/>
                </w:r>
                <w:r w:rsidRPr="007929E6">
                  <w:rPr>
                    <w:b w:val="0"/>
                    <w:noProof/>
                    <w:webHidden/>
                  </w:rPr>
                  <w:fldChar w:fldCharType="begin"/>
                </w:r>
                <w:r w:rsidRPr="007929E6">
                  <w:rPr>
                    <w:b w:val="0"/>
                    <w:noProof/>
                    <w:webHidden/>
                  </w:rPr>
                  <w:instrText xml:space="preserve"> PAGEREF _Toc156845970 \h </w:instrText>
                </w:r>
                <w:r w:rsidRPr="007929E6">
                  <w:rPr>
                    <w:b w:val="0"/>
                    <w:noProof/>
                    <w:webHidden/>
                  </w:rPr>
                </w:r>
                <w:r w:rsidRPr="007929E6">
                  <w:rPr>
                    <w:b w:val="0"/>
                    <w:noProof/>
                    <w:webHidden/>
                  </w:rPr>
                  <w:fldChar w:fldCharType="separate"/>
                </w:r>
                <w:r w:rsidRPr="007929E6">
                  <w:rPr>
                    <w:b w:val="0"/>
                    <w:noProof/>
                    <w:webHidden/>
                  </w:rPr>
                  <w:t>14</w:t>
                </w:r>
                <w:r w:rsidRPr="007929E6">
                  <w:rPr>
                    <w:b w:val="0"/>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71" w:history="1">
                <w:r w:rsidRPr="007929E6">
                  <w:rPr>
                    <w:rStyle w:val="Hyperlink"/>
                    <w:rFonts w:ascii="Times New Roman" w:hAnsi="Times New Roman" w:cs="Times New Roman"/>
                    <w:noProof/>
                  </w:rPr>
                  <w:t>ESG Pillars and Framework</w:t>
                </w:r>
                <w:r w:rsidRPr="007929E6">
                  <w:rPr>
                    <w:noProof/>
                    <w:webHidden/>
                  </w:rPr>
                  <w:tab/>
                </w:r>
                <w:r w:rsidRPr="007929E6">
                  <w:rPr>
                    <w:noProof/>
                    <w:webHidden/>
                  </w:rPr>
                  <w:fldChar w:fldCharType="begin"/>
                </w:r>
                <w:r w:rsidRPr="007929E6">
                  <w:rPr>
                    <w:noProof/>
                    <w:webHidden/>
                  </w:rPr>
                  <w:instrText xml:space="preserve"> PAGEREF _Toc156845971 \h </w:instrText>
                </w:r>
                <w:r w:rsidRPr="007929E6">
                  <w:rPr>
                    <w:noProof/>
                    <w:webHidden/>
                  </w:rPr>
                </w:r>
                <w:r w:rsidRPr="007929E6">
                  <w:rPr>
                    <w:noProof/>
                    <w:webHidden/>
                  </w:rPr>
                  <w:fldChar w:fldCharType="separate"/>
                </w:r>
                <w:r w:rsidRPr="007929E6">
                  <w:rPr>
                    <w:noProof/>
                    <w:webHidden/>
                  </w:rPr>
                  <w:t>16</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72" w:history="1">
                <w:r w:rsidRPr="007929E6">
                  <w:rPr>
                    <w:rStyle w:val="Hyperlink"/>
                    <w:rFonts w:ascii="Times New Roman" w:hAnsi="Times New Roman" w:cs="Times New Roman"/>
                    <w:noProof/>
                  </w:rPr>
                  <w:t>Environmental Pillar (E)</w:t>
                </w:r>
                <w:r w:rsidRPr="007929E6">
                  <w:rPr>
                    <w:noProof/>
                    <w:webHidden/>
                  </w:rPr>
                  <w:tab/>
                </w:r>
                <w:r w:rsidRPr="007929E6">
                  <w:rPr>
                    <w:noProof/>
                    <w:webHidden/>
                  </w:rPr>
                  <w:fldChar w:fldCharType="begin"/>
                </w:r>
                <w:r w:rsidRPr="007929E6">
                  <w:rPr>
                    <w:noProof/>
                    <w:webHidden/>
                  </w:rPr>
                  <w:instrText xml:space="preserve"> PAGEREF _Toc156845972 \h </w:instrText>
                </w:r>
                <w:r w:rsidRPr="007929E6">
                  <w:rPr>
                    <w:noProof/>
                    <w:webHidden/>
                  </w:rPr>
                </w:r>
                <w:r w:rsidRPr="007929E6">
                  <w:rPr>
                    <w:noProof/>
                    <w:webHidden/>
                  </w:rPr>
                  <w:fldChar w:fldCharType="separate"/>
                </w:r>
                <w:r w:rsidRPr="007929E6">
                  <w:rPr>
                    <w:noProof/>
                    <w:webHidden/>
                  </w:rPr>
                  <w:t>16</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73" w:history="1">
                <w:r w:rsidRPr="007929E6">
                  <w:rPr>
                    <w:rStyle w:val="Hyperlink"/>
                    <w:rFonts w:ascii="Times New Roman" w:hAnsi="Times New Roman" w:cs="Times New Roman"/>
                    <w:noProof/>
                  </w:rPr>
                  <w:t>Social Pillar (S)</w:t>
                </w:r>
                <w:r w:rsidRPr="007929E6">
                  <w:rPr>
                    <w:noProof/>
                    <w:webHidden/>
                  </w:rPr>
                  <w:tab/>
                </w:r>
                <w:r w:rsidRPr="007929E6">
                  <w:rPr>
                    <w:noProof/>
                    <w:webHidden/>
                  </w:rPr>
                  <w:fldChar w:fldCharType="begin"/>
                </w:r>
                <w:r w:rsidRPr="007929E6">
                  <w:rPr>
                    <w:noProof/>
                    <w:webHidden/>
                  </w:rPr>
                  <w:instrText xml:space="preserve"> PAGEREF _Toc156845973 \h </w:instrText>
                </w:r>
                <w:r w:rsidRPr="007929E6">
                  <w:rPr>
                    <w:noProof/>
                    <w:webHidden/>
                  </w:rPr>
                </w:r>
                <w:r w:rsidRPr="007929E6">
                  <w:rPr>
                    <w:noProof/>
                    <w:webHidden/>
                  </w:rPr>
                  <w:fldChar w:fldCharType="separate"/>
                </w:r>
                <w:r w:rsidRPr="007929E6">
                  <w:rPr>
                    <w:noProof/>
                    <w:webHidden/>
                  </w:rPr>
                  <w:t>17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74" w:history="1">
                <w:r w:rsidRPr="007929E6">
                  <w:rPr>
                    <w:rStyle w:val="Hyperlink"/>
                    <w:rFonts w:ascii="Times New Roman" w:hAnsi="Times New Roman" w:cs="Times New Roman"/>
                    <w:noProof/>
                  </w:rPr>
                  <w:t>Governance Pillar (G)</w:t>
                </w:r>
                <w:r w:rsidRPr="007929E6">
                  <w:rPr>
                    <w:noProof/>
                    <w:webHidden/>
                  </w:rPr>
                  <w:tab/>
                </w:r>
                <w:r w:rsidRPr="007929E6">
                  <w:rPr>
                    <w:noProof/>
                    <w:webHidden/>
                  </w:rPr>
                  <w:fldChar w:fldCharType="begin"/>
                </w:r>
                <w:r w:rsidRPr="007929E6">
                  <w:rPr>
                    <w:noProof/>
                    <w:webHidden/>
                  </w:rPr>
                  <w:instrText xml:space="preserve"> PAGEREF _Toc156845974 \h </w:instrText>
                </w:r>
                <w:r w:rsidRPr="007929E6">
                  <w:rPr>
                    <w:noProof/>
                    <w:webHidden/>
                  </w:rPr>
                </w:r>
                <w:r w:rsidRPr="007929E6">
                  <w:rPr>
                    <w:noProof/>
                    <w:webHidden/>
                  </w:rPr>
                  <w:fldChar w:fldCharType="separate"/>
                </w:r>
                <w:r w:rsidRPr="007929E6">
                  <w:rPr>
                    <w:noProof/>
                    <w:webHidden/>
                  </w:rPr>
                  <w:t>17</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75" w:history="1">
                <w:r w:rsidRPr="007929E6">
                  <w:rPr>
                    <w:rStyle w:val="Hyperlink"/>
                    <w:rFonts w:ascii="Times New Roman" w:hAnsi="Times New Roman" w:cs="Times New Roman"/>
                    <w:noProof/>
                  </w:rPr>
                  <w:t>Case Analysis in the Literature Review</w:t>
                </w:r>
                <w:r w:rsidRPr="007929E6">
                  <w:rPr>
                    <w:noProof/>
                    <w:webHidden/>
                  </w:rPr>
                  <w:tab/>
                </w:r>
                <w:r w:rsidRPr="007929E6">
                  <w:rPr>
                    <w:noProof/>
                    <w:webHidden/>
                  </w:rPr>
                  <w:fldChar w:fldCharType="begin"/>
                </w:r>
                <w:r w:rsidRPr="007929E6">
                  <w:rPr>
                    <w:noProof/>
                    <w:webHidden/>
                  </w:rPr>
                  <w:instrText xml:space="preserve"> PAGEREF _Toc156845975 \h </w:instrText>
                </w:r>
                <w:r w:rsidRPr="007929E6">
                  <w:rPr>
                    <w:noProof/>
                    <w:webHidden/>
                  </w:rPr>
                </w:r>
                <w:r w:rsidRPr="007929E6">
                  <w:rPr>
                    <w:noProof/>
                    <w:webHidden/>
                  </w:rPr>
                  <w:fldChar w:fldCharType="separate"/>
                </w:r>
                <w:r w:rsidRPr="007929E6">
                  <w:rPr>
                    <w:noProof/>
                    <w:webHidden/>
                  </w:rPr>
                  <w:t>18</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76" w:history="1">
                <w:r w:rsidRPr="007929E6">
                  <w:rPr>
                    <w:rStyle w:val="Hyperlink"/>
                    <w:rFonts w:ascii="Times New Roman" w:hAnsi="Times New Roman" w:cs="Times New Roman"/>
                    <w:noProof/>
                  </w:rPr>
                  <w:t>ESG Integration</w:t>
                </w:r>
                <w:r w:rsidRPr="007929E6">
                  <w:rPr>
                    <w:noProof/>
                    <w:webHidden/>
                  </w:rPr>
                  <w:tab/>
                </w:r>
                <w:r w:rsidRPr="007929E6">
                  <w:rPr>
                    <w:noProof/>
                    <w:webHidden/>
                  </w:rPr>
                  <w:fldChar w:fldCharType="begin"/>
                </w:r>
                <w:r w:rsidRPr="007929E6">
                  <w:rPr>
                    <w:noProof/>
                    <w:webHidden/>
                  </w:rPr>
                  <w:instrText xml:space="preserve"> PAGEREF _Toc156845976 \h </w:instrText>
                </w:r>
                <w:r w:rsidRPr="007929E6">
                  <w:rPr>
                    <w:noProof/>
                    <w:webHidden/>
                  </w:rPr>
                </w:r>
                <w:r w:rsidRPr="007929E6">
                  <w:rPr>
                    <w:noProof/>
                    <w:webHidden/>
                  </w:rPr>
                  <w:fldChar w:fldCharType="separate"/>
                </w:r>
                <w:r w:rsidRPr="007929E6">
                  <w:rPr>
                    <w:noProof/>
                    <w:webHidden/>
                  </w:rPr>
                  <w:t>19</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77" w:history="1">
                <w:r w:rsidRPr="007929E6">
                  <w:rPr>
                    <w:rStyle w:val="Hyperlink"/>
                    <w:rFonts w:ascii="Times New Roman" w:hAnsi="Times New Roman" w:cs="Times New Roman"/>
                    <w:noProof/>
                  </w:rPr>
                  <w:t>Examining ESG Reporting Frameworks and Governance Standards</w:t>
                </w:r>
                <w:r w:rsidRPr="007929E6">
                  <w:rPr>
                    <w:noProof/>
                    <w:webHidden/>
                  </w:rPr>
                  <w:tab/>
                </w:r>
                <w:r w:rsidRPr="007929E6">
                  <w:rPr>
                    <w:noProof/>
                    <w:webHidden/>
                  </w:rPr>
                  <w:fldChar w:fldCharType="begin"/>
                </w:r>
                <w:r w:rsidRPr="007929E6">
                  <w:rPr>
                    <w:noProof/>
                    <w:webHidden/>
                  </w:rPr>
                  <w:instrText xml:space="preserve"> PAGEREF _Toc156845977 \h </w:instrText>
                </w:r>
                <w:r w:rsidRPr="007929E6">
                  <w:rPr>
                    <w:noProof/>
                    <w:webHidden/>
                  </w:rPr>
                </w:r>
                <w:r w:rsidRPr="007929E6">
                  <w:rPr>
                    <w:noProof/>
                    <w:webHidden/>
                  </w:rPr>
                  <w:fldChar w:fldCharType="separate"/>
                </w:r>
                <w:r w:rsidRPr="007929E6">
                  <w:rPr>
                    <w:noProof/>
                    <w:webHidden/>
                  </w:rPr>
                  <w:t>21</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78" w:history="1">
                <w:r w:rsidRPr="007929E6">
                  <w:rPr>
                    <w:rStyle w:val="Hyperlink"/>
                    <w:rFonts w:ascii="Times New Roman" w:hAnsi="Times New Roman" w:cs="Times New Roman"/>
                    <w:noProof/>
                  </w:rPr>
                  <w:t>The Evolution of Financial Markets and ESG</w:t>
                </w:r>
                <w:r w:rsidRPr="007929E6">
                  <w:rPr>
                    <w:noProof/>
                    <w:webHidden/>
                  </w:rPr>
                  <w:tab/>
                </w:r>
                <w:r w:rsidRPr="007929E6">
                  <w:rPr>
                    <w:noProof/>
                    <w:webHidden/>
                  </w:rPr>
                  <w:fldChar w:fldCharType="begin"/>
                </w:r>
                <w:r w:rsidRPr="007929E6">
                  <w:rPr>
                    <w:noProof/>
                    <w:webHidden/>
                  </w:rPr>
                  <w:instrText xml:space="preserve"> PAGEREF _Toc156845978 \h </w:instrText>
                </w:r>
                <w:r w:rsidRPr="007929E6">
                  <w:rPr>
                    <w:noProof/>
                    <w:webHidden/>
                  </w:rPr>
                </w:r>
                <w:r w:rsidRPr="007929E6">
                  <w:rPr>
                    <w:noProof/>
                    <w:webHidden/>
                  </w:rPr>
                  <w:fldChar w:fldCharType="separate"/>
                </w:r>
                <w:r w:rsidRPr="007929E6">
                  <w:rPr>
                    <w:noProof/>
                    <w:webHidden/>
                  </w:rPr>
                  <w:t>22</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79" w:history="1">
                <w:r w:rsidRPr="007929E6">
                  <w:rPr>
                    <w:rStyle w:val="Hyperlink"/>
                    <w:rFonts w:ascii="Times New Roman" w:hAnsi="Times New Roman" w:cs="Times New Roman"/>
                    <w:noProof/>
                  </w:rPr>
                  <w:t>Opportunities and Challenges in ESG Research</w:t>
                </w:r>
                <w:r w:rsidRPr="007929E6">
                  <w:rPr>
                    <w:noProof/>
                    <w:webHidden/>
                  </w:rPr>
                  <w:tab/>
                </w:r>
                <w:r w:rsidRPr="007929E6">
                  <w:rPr>
                    <w:noProof/>
                    <w:webHidden/>
                  </w:rPr>
                  <w:fldChar w:fldCharType="begin"/>
                </w:r>
                <w:r w:rsidRPr="007929E6">
                  <w:rPr>
                    <w:noProof/>
                    <w:webHidden/>
                  </w:rPr>
                  <w:instrText xml:space="preserve"> PAGEREF _Toc156845979 \h </w:instrText>
                </w:r>
                <w:r w:rsidRPr="007929E6">
                  <w:rPr>
                    <w:noProof/>
                    <w:webHidden/>
                  </w:rPr>
                </w:r>
                <w:r w:rsidRPr="007929E6">
                  <w:rPr>
                    <w:noProof/>
                    <w:webHidden/>
                  </w:rPr>
                  <w:fldChar w:fldCharType="separate"/>
                </w:r>
                <w:r w:rsidRPr="007929E6">
                  <w:rPr>
                    <w:noProof/>
                    <w:webHidden/>
                  </w:rPr>
                  <w:t>23</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80" w:history="1">
                <w:r w:rsidRPr="007929E6">
                  <w:rPr>
                    <w:rStyle w:val="Hyperlink"/>
                    <w:rFonts w:ascii="Times New Roman" w:hAnsi="Times New Roman" w:cs="Times New Roman"/>
                    <w:noProof/>
                  </w:rPr>
                  <w:t>Conclusion</w:t>
                </w:r>
                <w:r w:rsidRPr="007929E6">
                  <w:rPr>
                    <w:noProof/>
                    <w:webHidden/>
                  </w:rPr>
                  <w:tab/>
                </w:r>
                <w:r w:rsidRPr="007929E6">
                  <w:rPr>
                    <w:noProof/>
                    <w:webHidden/>
                  </w:rPr>
                  <w:fldChar w:fldCharType="begin"/>
                </w:r>
                <w:r w:rsidRPr="007929E6">
                  <w:rPr>
                    <w:noProof/>
                    <w:webHidden/>
                  </w:rPr>
                  <w:instrText xml:space="preserve"> PAGEREF _Toc156845980 \h </w:instrText>
                </w:r>
                <w:r w:rsidRPr="007929E6">
                  <w:rPr>
                    <w:noProof/>
                    <w:webHidden/>
                  </w:rPr>
                </w:r>
                <w:r w:rsidRPr="007929E6">
                  <w:rPr>
                    <w:noProof/>
                    <w:webHidden/>
                  </w:rPr>
                  <w:fldChar w:fldCharType="separate"/>
                </w:r>
                <w:r w:rsidRPr="007929E6">
                  <w:rPr>
                    <w:noProof/>
                    <w:webHidden/>
                  </w:rPr>
                  <w:t>24</w:t>
                </w:r>
                <w:r w:rsidRPr="007929E6">
                  <w:rPr>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81" w:history="1">
                <w:r w:rsidRPr="007929E6">
                  <w:rPr>
                    <w:rStyle w:val="Hyperlink"/>
                    <w:b w:val="0"/>
                    <w:noProof/>
                  </w:rPr>
                  <w:t>Chapter: 2</w:t>
                </w:r>
                <w:r w:rsidRPr="007929E6">
                  <w:rPr>
                    <w:b w:val="0"/>
                    <w:noProof/>
                    <w:webHidden/>
                  </w:rPr>
                  <w:tab/>
                </w:r>
                <w:r w:rsidRPr="007929E6">
                  <w:rPr>
                    <w:b w:val="0"/>
                    <w:noProof/>
                    <w:webHidden/>
                  </w:rPr>
                  <w:fldChar w:fldCharType="begin"/>
                </w:r>
                <w:r w:rsidRPr="007929E6">
                  <w:rPr>
                    <w:b w:val="0"/>
                    <w:noProof/>
                    <w:webHidden/>
                  </w:rPr>
                  <w:instrText xml:space="preserve"> PAGEREF _Toc156845981 \h </w:instrText>
                </w:r>
                <w:r w:rsidRPr="007929E6">
                  <w:rPr>
                    <w:b w:val="0"/>
                    <w:noProof/>
                    <w:webHidden/>
                  </w:rPr>
                </w:r>
                <w:r w:rsidRPr="007929E6">
                  <w:rPr>
                    <w:b w:val="0"/>
                    <w:noProof/>
                    <w:webHidden/>
                  </w:rPr>
                  <w:fldChar w:fldCharType="separate"/>
                </w:r>
                <w:r w:rsidRPr="007929E6">
                  <w:rPr>
                    <w:b w:val="0"/>
                    <w:noProof/>
                    <w:webHidden/>
                  </w:rPr>
                  <w:t>26</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5982" w:history="1">
                <w:r w:rsidRPr="007929E6">
                  <w:rPr>
                    <w:rStyle w:val="Hyperlink"/>
                    <w:b w:val="0"/>
                    <w:noProof/>
                  </w:rPr>
                  <w:t>Methodology</w:t>
                </w:r>
                <w:r w:rsidRPr="007929E6">
                  <w:rPr>
                    <w:b w:val="0"/>
                    <w:noProof/>
                    <w:webHidden/>
                  </w:rPr>
                  <w:tab/>
                </w:r>
                <w:r w:rsidRPr="007929E6">
                  <w:rPr>
                    <w:b w:val="0"/>
                    <w:noProof/>
                    <w:webHidden/>
                  </w:rPr>
                  <w:fldChar w:fldCharType="begin"/>
                </w:r>
                <w:r w:rsidRPr="007929E6">
                  <w:rPr>
                    <w:b w:val="0"/>
                    <w:noProof/>
                    <w:webHidden/>
                  </w:rPr>
                  <w:instrText xml:space="preserve"> PAGEREF _Toc156845982 \h </w:instrText>
                </w:r>
                <w:r w:rsidRPr="007929E6">
                  <w:rPr>
                    <w:b w:val="0"/>
                    <w:noProof/>
                    <w:webHidden/>
                  </w:rPr>
                </w:r>
                <w:r w:rsidRPr="007929E6">
                  <w:rPr>
                    <w:b w:val="0"/>
                    <w:noProof/>
                    <w:webHidden/>
                  </w:rPr>
                  <w:fldChar w:fldCharType="separate"/>
                </w:r>
                <w:r w:rsidRPr="007929E6">
                  <w:rPr>
                    <w:b w:val="0"/>
                    <w:noProof/>
                    <w:webHidden/>
                  </w:rPr>
                  <w:t>26</w:t>
                </w:r>
                <w:r w:rsidRPr="007929E6">
                  <w:rPr>
                    <w:b w:val="0"/>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83" w:history="1">
                <w:r w:rsidRPr="007929E6">
                  <w:rPr>
                    <w:rStyle w:val="Hyperlink"/>
                    <w:rFonts w:ascii="Times New Roman" w:hAnsi="Times New Roman" w:cs="Times New Roman"/>
                    <w:noProof/>
                  </w:rPr>
                  <w:t>Research Design</w:t>
                </w:r>
                <w:r w:rsidRPr="007929E6">
                  <w:rPr>
                    <w:noProof/>
                    <w:webHidden/>
                  </w:rPr>
                  <w:tab/>
                </w:r>
                <w:r w:rsidRPr="007929E6">
                  <w:rPr>
                    <w:noProof/>
                    <w:webHidden/>
                  </w:rPr>
                  <w:fldChar w:fldCharType="begin"/>
                </w:r>
                <w:r w:rsidRPr="007929E6">
                  <w:rPr>
                    <w:noProof/>
                    <w:webHidden/>
                  </w:rPr>
                  <w:instrText xml:space="preserve"> PAGEREF _Toc156845983 \h </w:instrText>
                </w:r>
                <w:r w:rsidRPr="007929E6">
                  <w:rPr>
                    <w:noProof/>
                    <w:webHidden/>
                  </w:rPr>
                </w:r>
                <w:r w:rsidRPr="007929E6">
                  <w:rPr>
                    <w:noProof/>
                    <w:webHidden/>
                  </w:rPr>
                  <w:fldChar w:fldCharType="separate"/>
                </w:r>
                <w:r w:rsidRPr="007929E6">
                  <w:rPr>
                    <w:noProof/>
                    <w:webHidden/>
                  </w:rPr>
                  <w:t>26</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84" w:history="1">
                <w:r w:rsidRPr="007929E6">
                  <w:rPr>
                    <w:rStyle w:val="Hyperlink"/>
                    <w:rFonts w:ascii="Times New Roman" w:hAnsi="Times New Roman" w:cs="Times New Roman"/>
                    <w:noProof/>
                  </w:rPr>
                  <w:t>The Rationale for Selecting the Specific Design</w:t>
                </w:r>
                <w:r w:rsidRPr="007929E6">
                  <w:rPr>
                    <w:noProof/>
                    <w:webHidden/>
                  </w:rPr>
                  <w:tab/>
                </w:r>
                <w:r w:rsidRPr="007929E6">
                  <w:rPr>
                    <w:noProof/>
                    <w:webHidden/>
                  </w:rPr>
                  <w:fldChar w:fldCharType="begin"/>
                </w:r>
                <w:r w:rsidRPr="007929E6">
                  <w:rPr>
                    <w:noProof/>
                    <w:webHidden/>
                  </w:rPr>
                  <w:instrText xml:space="preserve"> PAGEREF _Toc156845984 \h </w:instrText>
                </w:r>
                <w:r w:rsidRPr="007929E6">
                  <w:rPr>
                    <w:noProof/>
                    <w:webHidden/>
                  </w:rPr>
                </w:r>
                <w:r w:rsidRPr="007929E6">
                  <w:rPr>
                    <w:noProof/>
                    <w:webHidden/>
                  </w:rPr>
                  <w:fldChar w:fldCharType="separate"/>
                </w:r>
                <w:r w:rsidRPr="007929E6">
                  <w:rPr>
                    <w:noProof/>
                    <w:webHidden/>
                  </w:rPr>
                  <w:t>26</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85" w:history="1">
                <w:r w:rsidRPr="007929E6">
                  <w:rPr>
                    <w:rStyle w:val="Hyperlink"/>
                    <w:rFonts w:ascii="Times New Roman" w:hAnsi="Times New Roman" w:cs="Times New Roman"/>
                    <w:noProof/>
                  </w:rPr>
                  <w:t>Data Collection</w:t>
                </w:r>
                <w:r w:rsidRPr="007929E6">
                  <w:rPr>
                    <w:noProof/>
                    <w:webHidden/>
                  </w:rPr>
                  <w:tab/>
                </w:r>
                <w:r w:rsidRPr="007929E6">
                  <w:rPr>
                    <w:noProof/>
                    <w:webHidden/>
                  </w:rPr>
                  <w:fldChar w:fldCharType="begin"/>
                </w:r>
                <w:r w:rsidRPr="007929E6">
                  <w:rPr>
                    <w:noProof/>
                    <w:webHidden/>
                  </w:rPr>
                  <w:instrText xml:space="preserve"> PAGEREF _Toc156845985 \h </w:instrText>
                </w:r>
                <w:r w:rsidRPr="007929E6">
                  <w:rPr>
                    <w:noProof/>
                    <w:webHidden/>
                  </w:rPr>
                </w:r>
                <w:r w:rsidRPr="007929E6">
                  <w:rPr>
                    <w:noProof/>
                    <w:webHidden/>
                  </w:rPr>
                  <w:fldChar w:fldCharType="separate"/>
                </w:r>
                <w:r w:rsidRPr="007929E6">
                  <w:rPr>
                    <w:noProof/>
                    <w:webHidden/>
                  </w:rPr>
                  <w:t>26</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86" w:history="1">
                <w:r w:rsidRPr="007929E6">
                  <w:rPr>
                    <w:rStyle w:val="Hyperlink"/>
                    <w:rFonts w:ascii="Times New Roman" w:hAnsi="Times New Roman" w:cs="Times New Roman"/>
                    <w:noProof/>
                  </w:rPr>
                  <w:t>Secondary Data Sources</w:t>
                </w:r>
                <w:r w:rsidRPr="007929E6">
                  <w:rPr>
                    <w:noProof/>
                    <w:webHidden/>
                  </w:rPr>
                  <w:tab/>
                </w:r>
                <w:r w:rsidRPr="007929E6">
                  <w:rPr>
                    <w:noProof/>
                    <w:webHidden/>
                  </w:rPr>
                  <w:fldChar w:fldCharType="begin"/>
                </w:r>
                <w:r w:rsidRPr="007929E6">
                  <w:rPr>
                    <w:noProof/>
                    <w:webHidden/>
                  </w:rPr>
                  <w:instrText xml:space="preserve"> PAGEREF _Toc156845986 \h </w:instrText>
                </w:r>
                <w:r w:rsidRPr="007929E6">
                  <w:rPr>
                    <w:noProof/>
                    <w:webHidden/>
                  </w:rPr>
                </w:r>
                <w:r w:rsidRPr="007929E6">
                  <w:rPr>
                    <w:noProof/>
                    <w:webHidden/>
                  </w:rPr>
                  <w:fldChar w:fldCharType="separate"/>
                </w:r>
                <w:r w:rsidRPr="007929E6">
                  <w:rPr>
                    <w:noProof/>
                    <w:webHidden/>
                  </w:rPr>
                  <w:t>26</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87" w:history="1">
                <w:r w:rsidRPr="007929E6">
                  <w:rPr>
                    <w:rStyle w:val="Hyperlink"/>
                    <w:rFonts w:ascii="Times New Roman" w:hAnsi="Times New Roman" w:cs="Times New Roman"/>
                    <w:noProof/>
                  </w:rPr>
                  <w:t>Criteria for Selecting Data Sources</w:t>
                </w:r>
                <w:r w:rsidRPr="007929E6">
                  <w:rPr>
                    <w:noProof/>
                    <w:webHidden/>
                  </w:rPr>
                  <w:tab/>
                </w:r>
                <w:r w:rsidRPr="007929E6">
                  <w:rPr>
                    <w:noProof/>
                    <w:webHidden/>
                  </w:rPr>
                  <w:fldChar w:fldCharType="begin"/>
                </w:r>
                <w:r w:rsidRPr="007929E6">
                  <w:rPr>
                    <w:noProof/>
                    <w:webHidden/>
                  </w:rPr>
                  <w:instrText xml:space="preserve"> PAGEREF _Toc156845987 \h </w:instrText>
                </w:r>
                <w:r w:rsidRPr="007929E6">
                  <w:rPr>
                    <w:noProof/>
                    <w:webHidden/>
                  </w:rPr>
                </w:r>
                <w:r w:rsidRPr="007929E6">
                  <w:rPr>
                    <w:noProof/>
                    <w:webHidden/>
                  </w:rPr>
                  <w:fldChar w:fldCharType="separate"/>
                </w:r>
                <w:r w:rsidRPr="007929E6">
                  <w:rPr>
                    <w:noProof/>
                    <w:webHidden/>
                  </w:rPr>
                  <w:t>27</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88" w:history="1">
                <w:r w:rsidRPr="007929E6">
                  <w:rPr>
                    <w:rStyle w:val="Hyperlink"/>
                    <w:rFonts w:ascii="Times New Roman" w:hAnsi="Times New Roman" w:cs="Times New Roman"/>
                    <w:noProof/>
                  </w:rPr>
                  <w:t>Data Collection Methods</w:t>
                </w:r>
                <w:r w:rsidRPr="007929E6">
                  <w:rPr>
                    <w:noProof/>
                    <w:webHidden/>
                  </w:rPr>
                  <w:tab/>
                </w:r>
                <w:r w:rsidRPr="007929E6">
                  <w:rPr>
                    <w:noProof/>
                    <w:webHidden/>
                  </w:rPr>
                  <w:fldChar w:fldCharType="begin"/>
                </w:r>
                <w:r w:rsidRPr="007929E6">
                  <w:rPr>
                    <w:noProof/>
                    <w:webHidden/>
                  </w:rPr>
                  <w:instrText xml:space="preserve"> PAGEREF _Toc156845988 \h </w:instrText>
                </w:r>
                <w:r w:rsidRPr="007929E6">
                  <w:rPr>
                    <w:noProof/>
                    <w:webHidden/>
                  </w:rPr>
                </w:r>
                <w:r w:rsidRPr="007929E6">
                  <w:rPr>
                    <w:noProof/>
                    <w:webHidden/>
                  </w:rPr>
                  <w:fldChar w:fldCharType="separate"/>
                </w:r>
                <w:r w:rsidRPr="007929E6">
                  <w:rPr>
                    <w:noProof/>
                    <w:webHidden/>
                  </w:rPr>
                  <w:t>27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89" w:history="1">
                <w:r w:rsidRPr="007929E6">
                  <w:rPr>
                    <w:rStyle w:val="Hyperlink"/>
                    <w:rFonts w:ascii="Times New Roman" w:hAnsi="Times New Roman" w:cs="Times New Roman"/>
                    <w:noProof/>
                  </w:rPr>
                  <w:t>Literature Review</w:t>
                </w:r>
                <w:r w:rsidRPr="007929E6">
                  <w:rPr>
                    <w:noProof/>
                    <w:webHidden/>
                  </w:rPr>
                  <w:tab/>
                </w:r>
                <w:r w:rsidRPr="007929E6">
                  <w:rPr>
                    <w:noProof/>
                    <w:webHidden/>
                  </w:rPr>
                  <w:fldChar w:fldCharType="begin"/>
                </w:r>
                <w:r w:rsidRPr="007929E6">
                  <w:rPr>
                    <w:noProof/>
                    <w:webHidden/>
                  </w:rPr>
                  <w:instrText xml:space="preserve"> PAGEREF _Toc156845989 \h </w:instrText>
                </w:r>
                <w:r w:rsidRPr="007929E6">
                  <w:rPr>
                    <w:noProof/>
                    <w:webHidden/>
                  </w:rPr>
                </w:r>
                <w:r w:rsidRPr="007929E6">
                  <w:rPr>
                    <w:noProof/>
                    <w:webHidden/>
                  </w:rPr>
                  <w:fldChar w:fldCharType="separate"/>
                </w:r>
                <w:r w:rsidRPr="007929E6">
                  <w:rPr>
                    <w:noProof/>
                    <w:webHidden/>
                  </w:rPr>
                  <w:t>27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90" w:history="1">
                <w:r w:rsidRPr="007929E6">
                  <w:rPr>
                    <w:rStyle w:val="Hyperlink"/>
                    <w:rFonts w:ascii="Times New Roman" w:hAnsi="Times New Roman" w:cs="Times New Roman"/>
                    <w:noProof/>
                  </w:rPr>
                  <w:t>Case Studies</w:t>
                </w:r>
                <w:r w:rsidRPr="007929E6">
                  <w:rPr>
                    <w:noProof/>
                    <w:webHidden/>
                  </w:rPr>
                  <w:tab/>
                </w:r>
                <w:r w:rsidRPr="007929E6">
                  <w:rPr>
                    <w:noProof/>
                    <w:webHidden/>
                  </w:rPr>
                  <w:fldChar w:fldCharType="begin"/>
                </w:r>
                <w:r w:rsidRPr="007929E6">
                  <w:rPr>
                    <w:noProof/>
                    <w:webHidden/>
                  </w:rPr>
                  <w:instrText xml:space="preserve"> PAGEREF _Toc156845990 \h </w:instrText>
                </w:r>
                <w:r w:rsidRPr="007929E6">
                  <w:rPr>
                    <w:noProof/>
                    <w:webHidden/>
                  </w:rPr>
                </w:r>
                <w:r w:rsidRPr="007929E6">
                  <w:rPr>
                    <w:noProof/>
                    <w:webHidden/>
                  </w:rPr>
                  <w:fldChar w:fldCharType="separate"/>
                </w:r>
                <w:r w:rsidRPr="007929E6">
                  <w:rPr>
                    <w:noProof/>
                    <w:webHidden/>
                  </w:rPr>
                  <w:t>27</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91" w:history="1">
                <w:r w:rsidRPr="007929E6">
                  <w:rPr>
                    <w:rStyle w:val="Hyperlink"/>
                    <w:rFonts w:ascii="Times New Roman" w:hAnsi="Times New Roman" w:cs="Times New Roman"/>
                    <w:noProof/>
                  </w:rPr>
                  <w:t>Sample Selection</w:t>
                </w:r>
                <w:r w:rsidRPr="007929E6">
                  <w:rPr>
                    <w:noProof/>
                    <w:webHidden/>
                  </w:rPr>
                  <w:tab/>
                </w:r>
                <w:r w:rsidRPr="007929E6">
                  <w:rPr>
                    <w:noProof/>
                    <w:webHidden/>
                  </w:rPr>
                  <w:fldChar w:fldCharType="begin"/>
                </w:r>
                <w:r w:rsidRPr="007929E6">
                  <w:rPr>
                    <w:noProof/>
                    <w:webHidden/>
                  </w:rPr>
                  <w:instrText xml:space="preserve"> PAGEREF _Toc156845991 \h </w:instrText>
                </w:r>
                <w:r w:rsidRPr="007929E6">
                  <w:rPr>
                    <w:noProof/>
                    <w:webHidden/>
                  </w:rPr>
                </w:r>
                <w:r w:rsidRPr="007929E6">
                  <w:rPr>
                    <w:noProof/>
                    <w:webHidden/>
                  </w:rPr>
                  <w:fldChar w:fldCharType="separate"/>
                </w:r>
                <w:r w:rsidRPr="007929E6">
                  <w:rPr>
                    <w:noProof/>
                    <w:webHidden/>
                  </w:rPr>
                  <w:t>27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92" w:history="1">
                <w:r w:rsidRPr="007929E6">
                  <w:rPr>
                    <w:rStyle w:val="Hyperlink"/>
                    <w:rFonts w:ascii="Times New Roman" w:hAnsi="Times New Roman" w:cs="Times New Roman"/>
                    <w:noProof/>
                  </w:rPr>
                  <w:t>Target Population</w:t>
                </w:r>
                <w:r w:rsidRPr="007929E6">
                  <w:rPr>
                    <w:noProof/>
                    <w:webHidden/>
                  </w:rPr>
                  <w:tab/>
                </w:r>
                <w:r w:rsidRPr="007929E6">
                  <w:rPr>
                    <w:noProof/>
                    <w:webHidden/>
                  </w:rPr>
                  <w:fldChar w:fldCharType="begin"/>
                </w:r>
                <w:r w:rsidRPr="007929E6">
                  <w:rPr>
                    <w:noProof/>
                    <w:webHidden/>
                  </w:rPr>
                  <w:instrText xml:space="preserve"> PAGEREF _Toc156845992 \h </w:instrText>
                </w:r>
                <w:r w:rsidRPr="007929E6">
                  <w:rPr>
                    <w:noProof/>
                    <w:webHidden/>
                  </w:rPr>
                </w:r>
                <w:r w:rsidRPr="007929E6">
                  <w:rPr>
                    <w:noProof/>
                    <w:webHidden/>
                  </w:rPr>
                  <w:fldChar w:fldCharType="separate"/>
                </w:r>
                <w:r w:rsidRPr="007929E6">
                  <w:rPr>
                    <w:noProof/>
                    <w:webHidden/>
                  </w:rPr>
                  <w:t>27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93" w:history="1">
                <w:r w:rsidRPr="007929E6">
                  <w:rPr>
                    <w:rStyle w:val="Hyperlink"/>
                    <w:rFonts w:ascii="Times New Roman" w:hAnsi="Times New Roman" w:cs="Times New Roman"/>
                    <w:noProof/>
                  </w:rPr>
                  <w:t>Sampling Strategy</w:t>
                </w:r>
                <w:r w:rsidRPr="007929E6">
                  <w:rPr>
                    <w:noProof/>
                    <w:webHidden/>
                  </w:rPr>
                  <w:tab/>
                </w:r>
                <w:r w:rsidRPr="007929E6">
                  <w:rPr>
                    <w:noProof/>
                    <w:webHidden/>
                  </w:rPr>
                  <w:fldChar w:fldCharType="begin"/>
                </w:r>
                <w:r w:rsidRPr="007929E6">
                  <w:rPr>
                    <w:noProof/>
                    <w:webHidden/>
                  </w:rPr>
                  <w:instrText xml:space="preserve"> PAGEREF _Toc156845993 \h </w:instrText>
                </w:r>
                <w:r w:rsidRPr="007929E6">
                  <w:rPr>
                    <w:noProof/>
                    <w:webHidden/>
                  </w:rPr>
                </w:r>
                <w:r w:rsidRPr="007929E6">
                  <w:rPr>
                    <w:noProof/>
                    <w:webHidden/>
                  </w:rPr>
                  <w:fldChar w:fldCharType="separate"/>
                </w:r>
                <w:r w:rsidRPr="007929E6">
                  <w:rPr>
                    <w:noProof/>
                    <w:webHidden/>
                  </w:rPr>
                  <w:t>28</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94" w:history="1">
                <w:r w:rsidRPr="007929E6">
                  <w:rPr>
                    <w:rStyle w:val="Hyperlink"/>
                    <w:rFonts w:ascii="Times New Roman" w:hAnsi="Times New Roman" w:cs="Times New Roman"/>
                    <w:noProof/>
                  </w:rPr>
                  <w:t>Criteria for Inclusion and Exclusion</w:t>
                </w:r>
                <w:r w:rsidRPr="007929E6">
                  <w:rPr>
                    <w:noProof/>
                    <w:webHidden/>
                  </w:rPr>
                  <w:tab/>
                </w:r>
                <w:r w:rsidRPr="007929E6">
                  <w:rPr>
                    <w:noProof/>
                    <w:webHidden/>
                  </w:rPr>
                  <w:fldChar w:fldCharType="begin"/>
                </w:r>
                <w:r w:rsidRPr="007929E6">
                  <w:rPr>
                    <w:noProof/>
                    <w:webHidden/>
                  </w:rPr>
                  <w:instrText xml:space="preserve"> PAGEREF _Toc156845994 \h </w:instrText>
                </w:r>
                <w:r w:rsidRPr="007929E6">
                  <w:rPr>
                    <w:noProof/>
                    <w:webHidden/>
                  </w:rPr>
                </w:r>
                <w:r w:rsidRPr="007929E6">
                  <w:rPr>
                    <w:noProof/>
                    <w:webHidden/>
                  </w:rPr>
                  <w:fldChar w:fldCharType="separate"/>
                </w:r>
                <w:r w:rsidRPr="007929E6">
                  <w:rPr>
                    <w:noProof/>
                    <w:webHidden/>
                  </w:rPr>
                  <w:t>28</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95" w:history="1">
                <w:r w:rsidRPr="007929E6">
                  <w:rPr>
                    <w:rStyle w:val="Hyperlink"/>
                    <w:rFonts w:ascii="Times New Roman" w:hAnsi="Times New Roman" w:cs="Times New Roman"/>
                    <w:noProof/>
                  </w:rPr>
                  <w:t>Variables and Measures</w:t>
                </w:r>
                <w:r w:rsidRPr="007929E6">
                  <w:rPr>
                    <w:noProof/>
                    <w:webHidden/>
                  </w:rPr>
                  <w:tab/>
                </w:r>
                <w:r w:rsidRPr="007929E6">
                  <w:rPr>
                    <w:noProof/>
                    <w:webHidden/>
                  </w:rPr>
                  <w:fldChar w:fldCharType="begin"/>
                </w:r>
                <w:r w:rsidRPr="007929E6">
                  <w:rPr>
                    <w:noProof/>
                    <w:webHidden/>
                  </w:rPr>
                  <w:instrText xml:space="preserve"> PAGEREF _Toc156845995 \h </w:instrText>
                </w:r>
                <w:r w:rsidRPr="007929E6">
                  <w:rPr>
                    <w:noProof/>
                    <w:webHidden/>
                  </w:rPr>
                </w:r>
                <w:r w:rsidRPr="007929E6">
                  <w:rPr>
                    <w:noProof/>
                    <w:webHidden/>
                  </w:rPr>
                  <w:fldChar w:fldCharType="separate"/>
                </w:r>
                <w:r w:rsidRPr="007929E6">
                  <w:rPr>
                    <w:noProof/>
                    <w:webHidden/>
                  </w:rPr>
                  <w:t>28</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96" w:history="1">
                <w:r w:rsidRPr="007929E6">
                  <w:rPr>
                    <w:rStyle w:val="Hyperlink"/>
                    <w:rFonts w:ascii="Times New Roman" w:hAnsi="Times New Roman" w:cs="Times New Roman"/>
                    <w:noProof/>
                  </w:rPr>
                  <w:t>Identification and Operationalization of Key Variables</w:t>
                </w:r>
                <w:r w:rsidRPr="007929E6">
                  <w:rPr>
                    <w:noProof/>
                    <w:webHidden/>
                  </w:rPr>
                  <w:tab/>
                </w:r>
                <w:r w:rsidRPr="007929E6">
                  <w:rPr>
                    <w:noProof/>
                    <w:webHidden/>
                  </w:rPr>
                  <w:fldChar w:fldCharType="begin"/>
                </w:r>
                <w:r w:rsidRPr="007929E6">
                  <w:rPr>
                    <w:noProof/>
                    <w:webHidden/>
                  </w:rPr>
                  <w:instrText xml:space="preserve"> PAGEREF _Toc156845996 \h </w:instrText>
                </w:r>
                <w:r w:rsidRPr="007929E6">
                  <w:rPr>
                    <w:noProof/>
                    <w:webHidden/>
                  </w:rPr>
                </w:r>
                <w:r w:rsidRPr="007929E6">
                  <w:rPr>
                    <w:noProof/>
                    <w:webHidden/>
                  </w:rPr>
                  <w:fldChar w:fldCharType="separate"/>
                </w:r>
                <w:r w:rsidRPr="007929E6">
                  <w:rPr>
                    <w:noProof/>
                    <w:webHidden/>
                  </w:rPr>
                  <w:t>28</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97" w:history="1">
                <w:r w:rsidRPr="007929E6">
                  <w:rPr>
                    <w:rStyle w:val="Hyperlink"/>
                    <w:rFonts w:ascii="Times New Roman" w:hAnsi="Times New Roman" w:cs="Times New Roman"/>
                    <w:noProof/>
                  </w:rPr>
                  <w:t>Measurement Methods and Instruments</w:t>
                </w:r>
                <w:r w:rsidRPr="007929E6">
                  <w:rPr>
                    <w:noProof/>
                    <w:webHidden/>
                  </w:rPr>
                  <w:tab/>
                </w:r>
                <w:r w:rsidRPr="007929E6">
                  <w:rPr>
                    <w:noProof/>
                    <w:webHidden/>
                  </w:rPr>
                  <w:fldChar w:fldCharType="begin"/>
                </w:r>
                <w:r w:rsidRPr="007929E6">
                  <w:rPr>
                    <w:noProof/>
                    <w:webHidden/>
                  </w:rPr>
                  <w:instrText xml:space="preserve"> PAGEREF _Toc156845997 \h </w:instrText>
                </w:r>
                <w:r w:rsidRPr="007929E6">
                  <w:rPr>
                    <w:noProof/>
                    <w:webHidden/>
                  </w:rPr>
                </w:r>
                <w:r w:rsidRPr="007929E6">
                  <w:rPr>
                    <w:noProof/>
                    <w:webHidden/>
                  </w:rPr>
                  <w:fldChar w:fldCharType="separate"/>
                </w:r>
                <w:r w:rsidRPr="007929E6">
                  <w:rPr>
                    <w:noProof/>
                    <w:webHidden/>
                  </w:rPr>
                  <w:t>29</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5998" w:history="1">
                <w:r w:rsidRPr="007929E6">
                  <w:rPr>
                    <w:rStyle w:val="Hyperlink"/>
                    <w:rFonts w:ascii="Times New Roman" w:hAnsi="Times New Roman" w:cs="Times New Roman"/>
                    <w:noProof/>
                  </w:rPr>
                  <w:t>Consideration of Validated Scales or Indices</w:t>
                </w:r>
                <w:r w:rsidRPr="007929E6">
                  <w:rPr>
                    <w:noProof/>
                    <w:webHidden/>
                  </w:rPr>
                  <w:tab/>
                </w:r>
                <w:r w:rsidRPr="007929E6">
                  <w:rPr>
                    <w:noProof/>
                    <w:webHidden/>
                  </w:rPr>
                  <w:fldChar w:fldCharType="begin"/>
                </w:r>
                <w:r w:rsidRPr="007929E6">
                  <w:rPr>
                    <w:noProof/>
                    <w:webHidden/>
                  </w:rPr>
                  <w:instrText xml:space="preserve"> PAGEREF _Toc156845998 \h </w:instrText>
                </w:r>
                <w:r w:rsidRPr="007929E6">
                  <w:rPr>
                    <w:noProof/>
                    <w:webHidden/>
                  </w:rPr>
                </w:r>
                <w:r w:rsidRPr="007929E6">
                  <w:rPr>
                    <w:noProof/>
                    <w:webHidden/>
                  </w:rPr>
                  <w:fldChar w:fldCharType="separate"/>
                </w:r>
                <w:r w:rsidRPr="007929E6">
                  <w:rPr>
                    <w:noProof/>
                    <w:webHidden/>
                  </w:rPr>
                  <w:t>29</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5999" w:history="1">
                <w:r w:rsidRPr="007929E6">
                  <w:rPr>
                    <w:rStyle w:val="Hyperlink"/>
                    <w:rFonts w:ascii="Times New Roman" w:hAnsi="Times New Roman" w:cs="Times New Roman"/>
                    <w:noProof/>
                  </w:rPr>
                  <w:t>Data Analysis</w:t>
                </w:r>
                <w:r w:rsidRPr="007929E6">
                  <w:rPr>
                    <w:noProof/>
                    <w:webHidden/>
                  </w:rPr>
                  <w:tab/>
                </w:r>
                <w:r w:rsidRPr="007929E6">
                  <w:rPr>
                    <w:noProof/>
                    <w:webHidden/>
                  </w:rPr>
                  <w:fldChar w:fldCharType="begin"/>
                </w:r>
                <w:r w:rsidRPr="007929E6">
                  <w:rPr>
                    <w:noProof/>
                    <w:webHidden/>
                  </w:rPr>
                  <w:instrText xml:space="preserve"> PAGEREF _Toc156845999 \h </w:instrText>
                </w:r>
                <w:r w:rsidRPr="007929E6">
                  <w:rPr>
                    <w:noProof/>
                    <w:webHidden/>
                  </w:rPr>
                </w:r>
                <w:r w:rsidRPr="007929E6">
                  <w:rPr>
                    <w:noProof/>
                    <w:webHidden/>
                  </w:rPr>
                  <w:fldChar w:fldCharType="separate"/>
                </w:r>
                <w:r w:rsidRPr="007929E6">
                  <w:rPr>
                    <w:noProof/>
                    <w:webHidden/>
                  </w:rPr>
                  <w:t>29</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00" w:history="1">
                <w:r w:rsidRPr="007929E6">
                  <w:rPr>
                    <w:rStyle w:val="Hyperlink"/>
                    <w:rFonts w:ascii="Times New Roman" w:hAnsi="Times New Roman" w:cs="Times New Roman"/>
                    <w:noProof/>
                  </w:rPr>
                  <w:t>Analytical Techniques</w:t>
                </w:r>
                <w:r w:rsidRPr="007929E6">
                  <w:rPr>
                    <w:noProof/>
                    <w:webHidden/>
                  </w:rPr>
                  <w:tab/>
                </w:r>
                <w:r w:rsidRPr="007929E6">
                  <w:rPr>
                    <w:noProof/>
                    <w:webHidden/>
                  </w:rPr>
                  <w:fldChar w:fldCharType="begin"/>
                </w:r>
                <w:r w:rsidRPr="007929E6">
                  <w:rPr>
                    <w:noProof/>
                    <w:webHidden/>
                  </w:rPr>
                  <w:instrText xml:space="preserve"> PAGEREF _Toc156846000 \h </w:instrText>
                </w:r>
                <w:r w:rsidRPr="007929E6">
                  <w:rPr>
                    <w:noProof/>
                    <w:webHidden/>
                  </w:rPr>
                </w:r>
                <w:r w:rsidRPr="007929E6">
                  <w:rPr>
                    <w:noProof/>
                    <w:webHidden/>
                  </w:rPr>
                  <w:fldChar w:fldCharType="separate"/>
                </w:r>
                <w:r w:rsidRPr="007929E6">
                  <w:rPr>
                    <w:noProof/>
                    <w:webHidden/>
                  </w:rPr>
                  <w:t>29</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01" w:history="1">
                <w:r w:rsidRPr="007929E6">
                  <w:rPr>
                    <w:rStyle w:val="Hyperlink"/>
                    <w:rFonts w:ascii="Times New Roman" w:hAnsi="Times New Roman" w:cs="Times New Roman"/>
                    <w:noProof/>
                  </w:rPr>
                  <w:t>Data Processing, Organization, and Interpretation</w:t>
                </w:r>
                <w:r w:rsidRPr="007929E6">
                  <w:rPr>
                    <w:noProof/>
                    <w:webHidden/>
                  </w:rPr>
                  <w:tab/>
                </w:r>
                <w:r w:rsidRPr="007929E6">
                  <w:rPr>
                    <w:noProof/>
                    <w:webHidden/>
                  </w:rPr>
                  <w:fldChar w:fldCharType="begin"/>
                </w:r>
                <w:r w:rsidRPr="007929E6">
                  <w:rPr>
                    <w:noProof/>
                    <w:webHidden/>
                  </w:rPr>
                  <w:instrText xml:space="preserve"> PAGEREF _Toc156846001 \h </w:instrText>
                </w:r>
                <w:r w:rsidRPr="007929E6">
                  <w:rPr>
                    <w:noProof/>
                    <w:webHidden/>
                  </w:rPr>
                </w:r>
                <w:r w:rsidRPr="007929E6">
                  <w:rPr>
                    <w:noProof/>
                    <w:webHidden/>
                  </w:rPr>
                  <w:fldChar w:fldCharType="separate"/>
                </w:r>
                <w:r w:rsidRPr="007929E6">
                  <w:rPr>
                    <w:noProof/>
                    <w:webHidden/>
                  </w:rPr>
                  <w:t>30</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02" w:history="1">
                <w:r w:rsidRPr="007929E6">
                  <w:rPr>
                    <w:rStyle w:val="Hyperlink"/>
                    <w:rFonts w:ascii="Times New Roman" w:hAnsi="Times New Roman" w:cs="Times New Roman"/>
                    <w:noProof/>
                  </w:rPr>
                  <w:t>Ethical Considerations</w:t>
                </w:r>
                <w:r w:rsidRPr="007929E6">
                  <w:rPr>
                    <w:noProof/>
                    <w:webHidden/>
                  </w:rPr>
                  <w:tab/>
                </w:r>
                <w:r w:rsidRPr="007929E6">
                  <w:rPr>
                    <w:noProof/>
                    <w:webHidden/>
                  </w:rPr>
                  <w:fldChar w:fldCharType="begin"/>
                </w:r>
                <w:r w:rsidRPr="007929E6">
                  <w:rPr>
                    <w:noProof/>
                    <w:webHidden/>
                  </w:rPr>
                  <w:instrText xml:space="preserve"> PAGEREF _Toc156846002 \h </w:instrText>
                </w:r>
                <w:r w:rsidRPr="007929E6">
                  <w:rPr>
                    <w:noProof/>
                    <w:webHidden/>
                  </w:rPr>
                </w:r>
                <w:r w:rsidRPr="007929E6">
                  <w:rPr>
                    <w:noProof/>
                    <w:webHidden/>
                  </w:rPr>
                  <w:fldChar w:fldCharType="separate"/>
                </w:r>
                <w:r w:rsidRPr="007929E6">
                  <w:rPr>
                    <w:noProof/>
                    <w:webHidden/>
                  </w:rPr>
                  <w:t>30</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03" w:history="1">
                <w:r w:rsidRPr="007929E6">
                  <w:rPr>
                    <w:rStyle w:val="Hyperlink"/>
                    <w:rFonts w:ascii="Times New Roman" w:hAnsi="Times New Roman" w:cs="Times New Roman"/>
                    <w:noProof/>
                  </w:rPr>
                  <w:t>Ethical Guidelines</w:t>
                </w:r>
                <w:r w:rsidRPr="007929E6">
                  <w:rPr>
                    <w:noProof/>
                    <w:webHidden/>
                  </w:rPr>
                  <w:tab/>
                </w:r>
                <w:r w:rsidRPr="007929E6">
                  <w:rPr>
                    <w:noProof/>
                    <w:webHidden/>
                  </w:rPr>
                  <w:fldChar w:fldCharType="begin"/>
                </w:r>
                <w:r w:rsidRPr="007929E6">
                  <w:rPr>
                    <w:noProof/>
                    <w:webHidden/>
                  </w:rPr>
                  <w:instrText xml:space="preserve"> PAGEREF _Toc156846003 \h </w:instrText>
                </w:r>
                <w:r w:rsidRPr="007929E6">
                  <w:rPr>
                    <w:noProof/>
                    <w:webHidden/>
                  </w:rPr>
                </w:r>
                <w:r w:rsidRPr="007929E6">
                  <w:rPr>
                    <w:noProof/>
                    <w:webHidden/>
                  </w:rPr>
                  <w:fldChar w:fldCharType="separate"/>
                </w:r>
                <w:r w:rsidRPr="007929E6">
                  <w:rPr>
                    <w:noProof/>
                    <w:webHidden/>
                  </w:rPr>
                  <w:t>30</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04" w:history="1">
                <w:r w:rsidRPr="007929E6">
                  <w:rPr>
                    <w:rStyle w:val="Hyperlink"/>
                    <w:rFonts w:ascii="Times New Roman" w:hAnsi="Times New Roman" w:cs="Times New Roman"/>
                    <w:noProof/>
                  </w:rPr>
                  <w:t>Participant Confidentiality and Data Integrity</w:t>
                </w:r>
                <w:r w:rsidRPr="007929E6">
                  <w:rPr>
                    <w:noProof/>
                    <w:webHidden/>
                  </w:rPr>
                  <w:tab/>
                </w:r>
                <w:r w:rsidRPr="007929E6">
                  <w:rPr>
                    <w:noProof/>
                    <w:webHidden/>
                  </w:rPr>
                  <w:fldChar w:fldCharType="begin"/>
                </w:r>
                <w:r w:rsidRPr="007929E6">
                  <w:rPr>
                    <w:noProof/>
                    <w:webHidden/>
                  </w:rPr>
                  <w:instrText xml:space="preserve"> PAGEREF _Toc156846004 \h </w:instrText>
                </w:r>
                <w:r w:rsidRPr="007929E6">
                  <w:rPr>
                    <w:noProof/>
                    <w:webHidden/>
                  </w:rPr>
                </w:r>
                <w:r w:rsidRPr="007929E6">
                  <w:rPr>
                    <w:noProof/>
                    <w:webHidden/>
                  </w:rPr>
                  <w:fldChar w:fldCharType="separate"/>
                </w:r>
                <w:r w:rsidRPr="007929E6">
                  <w:rPr>
                    <w:noProof/>
                    <w:webHidden/>
                  </w:rPr>
                  <w:t>31</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05" w:history="1">
                <w:r w:rsidRPr="007929E6">
                  <w:rPr>
                    <w:rStyle w:val="Hyperlink"/>
                    <w:rFonts w:ascii="Times New Roman" w:hAnsi="Times New Roman" w:cs="Times New Roman"/>
                    <w:noProof/>
                  </w:rPr>
                  <w:t>Limitations</w:t>
                </w:r>
                <w:r w:rsidRPr="007929E6">
                  <w:rPr>
                    <w:noProof/>
                    <w:webHidden/>
                  </w:rPr>
                  <w:tab/>
                </w:r>
                <w:r w:rsidRPr="007929E6">
                  <w:rPr>
                    <w:noProof/>
                    <w:webHidden/>
                  </w:rPr>
                  <w:fldChar w:fldCharType="begin"/>
                </w:r>
                <w:r w:rsidRPr="007929E6">
                  <w:rPr>
                    <w:noProof/>
                    <w:webHidden/>
                  </w:rPr>
                  <w:instrText xml:space="preserve"> PAGEREF _Toc156846005 \h </w:instrText>
                </w:r>
                <w:r w:rsidRPr="007929E6">
                  <w:rPr>
                    <w:noProof/>
                    <w:webHidden/>
                  </w:rPr>
                </w:r>
                <w:r w:rsidRPr="007929E6">
                  <w:rPr>
                    <w:noProof/>
                    <w:webHidden/>
                  </w:rPr>
                  <w:fldChar w:fldCharType="separate"/>
                </w:r>
                <w:r w:rsidRPr="007929E6">
                  <w:rPr>
                    <w:noProof/>
                    <w:webHidden/>
                  </w:rPr>
                  <w:t>31</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06" w:history="1">
                <w:r w:rsidRPr="007929E6">
                  <w:rPr>
                    <w:rStyle w:val="Hyperlink"/>
                    <w:rFonts w:ascii="Times New Roman" w:hAnsi="Times New Roman" w:cs="Times New Roman"/>
                    <w:noProof/>
                  </w:rPr>
                  <w:t>Identification and Acknowledgment</w:t>
                </w:r>
                <w:r w:rsidRPr="007929E6">
                  <w:rPr>
                    <w:noProof/>
                    <w:webHidden/>
                  </w:rPr>
                  <w:tab/>
                </w:r>
                <w:r w:rsidRPr="007929E6">
                  <w:rPr>
                    <w:noProof/>
                    <w:webHidden/>
                  </w:rPr>
                  <w:fldChar w:fldCharType="begin"/>
                </w:r>
                <w:r w:rsidRPr="007929E6">
                  <w:rPr>
                    <w:noProof/>
                    <w:webHidden/>
                  </w:rPr>
                  <w:instrText xml:space="preserve"> PAGEREF _Toc156846006 \h </w:instrText>
                </w:r>
                <w:r w:rsidRPr="007929E6">
                  <w:rPr>
                    <w:noProof/>
                    <w:webHidden/>
                  </w:rPr>
                </w:r>
                <w:r w:rsidRPr="007929E6">
                  <w:rPr>
                    <w:noProof/>
                    <w:webHidden/>
                  </w:rPr>
                  <w:fldChar w:fldCharType="separate"/>
                </w:r>
                <w:r w:rsidRPr="007929E6">
                  <w:rPr>
                    <w:noProof/>
                    <w:webHidden/>
                  </w:rPr>
                  <w:t>31</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07" w:history="1">
                <w:r w:rsidRPr="007929E6">
                  <w:rPr>
                    <w:rStyle w:val="Hyperlink"/>
                    <w:rFonts w:ascii="Times New Roman" w:hAnsi="Times New Roman" w:cs="Times New Roman"/>
                    <w:noProof/>
                  </w:rPr>
                  <w:t>Geographic Scope</w:t>
                </w:r>
                <w:r w:rsidRPr="007929E6">
                  <w:rPr>
                    <w:noProof/>
                    <w:webHidden/>
                  </w:rPr>
                  <w:tab/>
                </w:r>
                <w:r w:rsidRPr="007929E6">
                  <w:rPr>
                    <w:noProof/>
                    <w:webHidden/>
                  </w:rPr>
                  <w:fldChar w:fldCharType="begin"/>
                </w:r>
                <w:r w:rsidRPr="007929E6">
                  <w:rPr>
                    <w:noProof/>
                    <w:webHidden/>
                  </w:rPr>
                  <w:instrText xml:space="preserve"> PAGEREF _Toc156846007 \h </w:instrText>
                </w:r>
                <w:r w:rsidRPr="007929E6">
                  <w:rPr>
                    <w:noProof/>
                    <w:webHidden/>
                  </w:rPr>
                </w:r>
                <w:r w:rsidRPr="007929E6">
                  <w:rPr>
                    <w:noProof/>
                    <w:webHidden/>
                  </w:rPr>
                  <w:fldChar w:fldCharType="separate"/>
                </w:r>
                <w:r w:rsidRPr="007929E6">
                  <w:rPr>
                    <w:noProof/>
                    <w:webHidden/>
                  </w:rPr>
                  <w:t>31</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08" w:history="1">
                <w:r w:rsidRPr="007929E6">
                  <w:rPr>
                    <w:rStyle w:val="Hyperlink"/>
                    <w:rFonts w:ascii="Times New Roman" w:hAnsi="Times New Roman" w:cs="Times New Roman"/>
                    <w:noProof/>
                  </w:rPr>
                  <w:t>Industry-Specific Focus</w:t>
                </w:r>
                <w:r w:rsidRPr="007929E6">
                  <w:rPr>
                    <w:noProof/>
                    <w:webHidden/>
                  </w:rPr>
                  <w:tab/>
                </w:r>
                <w:r w:rsidRPr="007929E6">
                  <w:rPr>
                    <w:noProof/>
                    <w:webHidden/>
                  </w:rPr>
                  <w:fldChar w:fldCharType="begin"/>
                </w:r>
                <w:r w:rsidRPr="007929E6">
                  <w:rPr>
                    <w:noProof/>
                    <w:webHidden/>
                  </w:rPr>
                  <w:instrText xml:space="preserve"> PAGEREF _Toc156846008 \h </w:instrText>
                </w:r>
                <w:r w:rsidRPr="007929E6">
                  <w:rPr>
                    <w:noProof/>
                    <w:webHidden/>
                  </w:rPr>
                </w:r>
                <w:r w:rsidRPr="007929E6">
                  <w:rPr>
                    <w:noProof/>
                    <w:webHidden/>
                  </w:rPr>
                  <w:fldChar w:fldCharType="separate"/>
                </w:r>
                <w:r w:rsidRPr="007929E6">
                  <w:rPr>
                    <w:noProof/>
                    <w:webHidden/>
                  </w:rPr>
                  <w:t>31</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09" w:history="1">
                <w:r w:rsidRPr="007929E6">
                  <w:rPr>
                    <w:rStyle w:val="Hyperlink"/>
                    <w:rFonts w:ascii="Times New Roman" w:hAnsi="Times New Roman" w:cs="Times New Roman"/>
                    <w:noProof/>
                  </w:rPr>
                  <w:t>Impact on Interpretation</w:t>
                </w:r>
                <w:r w:rsidRPr="007929E6">
                  <w:rPr>
                    <w:noProof/>
                    <w:webHidden/>
                  </w:rPr>
                  <w:tab/>
                </w:r>
                <w:r w:rsidRPr="007929E6">
                  <w:rPr>
                    <w:noProof/>
                    <w:webHidden/>
                  </w:rPr>
                  <w:fldChar w:fldCharType="begin"/>
                </w:r>
                <w:r w:rsidRPr="007929E6">
                  <w:rPr>
                    <w:noProof/>
                    <w:webHidden/>
                  </w:rPr>
                  <w:instrText xml:space="preserve"> PAGEREF _Toc156846009 \h </w:instrText>
                </w:r>
                <w:r w:rsidRPr="007929E6">
                  <w:rPr>
                    <w:noProof/>
                    <w:webHidden/>
                  </w:rPr>
                </w:r>
                <w:r w:rsidRPr="007929E6">
                  <w:rPr>
                    <w:noProof/>
                    <w:webHidden/>
                  </w:rPr>
                  <w:fldChar w:fldCharType="separate"/>
                </w:r>
                <w:r w:rsidRPr="007929E6">
                  <w:rPr>
                    <w:noProof/>
                    <w:webHidden/>
                  </w:rPr>
                  <w:t>32</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10" w:history="1">
                <w:r w:rsidRPr="007929E6">
                  <w:rPr>
                    <w:rStyle w:val="Hyperlink"/>
                    <w:rFonts w:ascii="Times New Roman" w:hAnsi="Times New Roman" w:cs="Times New Roman"/>
                    <w:noProof/>
                  </w:rPr>
                  <w:t>Limited Generalization</w:t>
                </w:r>
                <w:r w:rsidRPr="007929E6">
                  <w:rPr>
                    <w:noProof/>
                    <w:webHidden/>
                  </w:rPr>
                  <w:tab/>
                </w:r>
                <w:r w:rsidRPr="007929E6">
                  <w:rPr>
                    <w:noProof/>
                    <w:webHidden/>
                  </w:rPr>
                  <w:fldChar w:fldCharType="begin"/>
                </w:r>
                <w:r w:rsidRPr="007929E6">
                  <w:rPr>
                    <w:noProof/>
                    <w:webHidden/>
                  </w:rPr>
                  <w:instrText xml:space="preserve"> PAGEREF _Toc156846010 \h </w:instrText>
                </w:r>
                <w:r w:rsidRPr="007929E6">
                  <w:rPr>
                    <w:noProof/>
                    <w:webHidden/>
                  </w:rPr>
                </w:r>
                <w:r w:rsidRPr="007929E6">
                  <w:rPr>
                    <w:noProof/>
                    <w:webHidden/>
                  </w:rPr>
                  <w:fldChar w:fldCharType="separate"/>
                </w:r>
                <w:r w:rsidRPr="007929E6">
                  <w:rPr>
                    <w:noProof/>
                    <w:webHidden/>
                  </w:rPr>
                  <w:t>32</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11" w:history="1">
                <w:r w:rsidRPr="007929E6">
                  <w:rPr>
                    <w:rStyle w:val="Hyperlink"/>
                    <w:rFonts w:ascii="Times New Roman" w:hAnsi="Times New Roman" w:cs="Times New Roman"/>
                    <w:noProof/>
                  </w:rPr>
                  <w:t>Incomplete Sector Representation</w:t>
                </w:r>
                <w:r w:rsidRPr="007929E6">
                  <w:rPr>
                    <w:noProof/>
                    <w:webHidden/>
                  </w:rPr>
                  <w:tab/>
                </w:r>
                <w:r w:rsidRPr="007929E6">
                  <w:rPr>
                    <w:noProof/>
                    <w:webHidden/>
                  </w:rPr>
                  <w:fldChar w:fldCharType="begin"/>
                </w:r>
                <w:r w:rsidRPr="007929E6">
                  <w:rPr>
                    <w:noProof/>
                    <w:webHidden/>
                  </w:rPr>
                  <w:instrText xml:space="preserve"> PAGEREF _Toc156846011 \h </w:instrText>
                </w:r>
                <w:r w:rsidRPr="007929E6">
                  <w:rPr>
                    <w:noProof/>
                    <w:webHidden/>
                  </w:rPr>
                </w:r>
                <w:r w:rsidRPr="007929E6">
                  <w:rPr>
                    <w:noProof/>
                    <w:webHidden/>
                  </w:rPr>
                  <w:fldChar w:fldCharType="separate"/>
                </w:r>
                <w:r w:rsidRPr="007929E6">
                  <w:rPr>
                    <w:noProof/>
                    <w:webHidden/>
                  </w:rPr>
                  <w:t>32</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12" w:history="1">
                <w:r w:rsidRPr="007929E6">
                  <w:rPr>
                    <w:rStyle w:val="Hyperlink"/>
                    <w:rFonts w:ascii="Times New Roman" w:hAnsi="Times New Roman" w:cs="Times New Roman"/>
                    <w:noProof/>
                  </w:rPr>
                  <w:t>Temporal Relevance</w:t>
                </w:r>
                <w:r w:rsidRPr="007929E6">
                  <w:rPr>
                    <w:noProof/>
                    <w:webHidden/>
                  </w:rPr>
                  <w:tab/>
                </w:r>
                <w:r w:rsidRPr="007929E6">
                  <w:rPr>
                    <w:noProof/>
                    <w:webHidden/>
                  </w:rPr>
                  <w:fldChar w:fldCharType="begin"/>
                </w:r>
                <w:r w:rsidRPr="007929E6">
                  <w:rPr>
                    <w:noProof/>
                    <w:webHidden/>
                  </w:rPr>
                  <w:instrText xml:space="preserve"> PAGEREF _Toc156846012 \h </w:instrText>
                </w:r>
                <w:r w:rsidRPr="007929E6">
                  <w:rPr>
                    <w:noProof/>
                    <w:webHidden/>
                  </w:rPr>
                </w:r>
                <w:r w:rsidRPr="007929E6">
                  <w:rPr>
                    <w:noProof/>
                    <w:webHidden/>
                  </w:rPr>
                  <w:fldChar w:fldCharType="separate"/>
                </w:r>
                <w:r w:rsidRPr="007929E6">
                  <w:rPr>
                    <w:noProof/>
                    <w:webHidden/>
                  </w:rPr>
                  <w:t>32</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13" w:history="1">
                <w:r w:rsidRPr="007929E6">
                  <w:rPr>
                    <w:rStyle w:val="Hyperlink"/>
                    <w:rFonts w:ascii="Times New Roman" w:hAnsi="Times New Roman" w:cs="Times New Roman"/>
                    <w:noProof/>
                  </w:rPr>
                  <w:t>Steps for Validity and Reliability</w:t>
                </w:r>
                <w:r w:rsidRPr="007929E6">
                  <w:rPr>
                    <w:noProof/>
                    <w:webHidden/>
                  </w:rPr>
                  <w:tab/>
                </w:r>
                <w:r w:rsidRPr="007929E6">
                  <w:rPr>
                    <w:noProof/>
                    <w:webHidden/>
                  </w:rPr>
                  <w:fldChar w:fldCharType="begin"/>
                </w:r>
                <w:r w:rsidRPr="007929E6">
                  <w:rPr>
                    <w:noProof/>
                    <w:webHidden/>
                  </w:rPr>
                  <w:instrText xml:space="preserve"> PAGEREF _Toc156846013 \h </w:instrText>
                </w:r>
                <w:r w:rsidRPr="007929E6">
                  <w:rPr>
                    <w:noProof/>
                    <w:webHidden/>
                  </w:rPr>
                </w:r>
                <w:r w:rsidRPr="007929E6">
                  <w:rPr>
                    <w:noProof/>
                    <w:webHidden/>
                  </w:rPr>
                  <w:fldChar w:fldCharType="separate"/>
                </w:r>
                <w:r w:rsidRPr="007929E6">
                  <w:rPr>
                    <w:noProof/>
                    <w:webHidden/>
                  </w:rPr>
                  <w:t>33</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14" w:history="1">
                <w:r w:rsidRPr="007929E6">
                  <w:rPr>
                    <w:rStyle w:val="Hyperlink"/>
                    <w:rFonts w:ascii="Times New Roman" w:hAnsi="Times New Roman" w:cs="Times New Roman"/>
                    <w:noProof/>
                  </w:rPr>
                  <w:t>Comprehensive Data Collection</w:t>
                </w:r>
                <w:r w:rsidRPr="007929E6">
                  <w:rPr>
                    <w:noProof/>
                    <w:webHidden/>
                  </w:rPr>
                  <w:tab/>
                </w:r>
                <w:r w:rsidRPr="007929E6">
                  <w:rPr>
                    <w:noProof/>
                    <w:webHidden/>
                  </w:rPr>
                  <w:fldChar w:fldCharType="begin"/>
                </w:r>
                <w:r w:rsidRPr="007929E6">
                  <w:rPr>
                    <w:noProof/>
                    <w:webHidden/>
                  </w:rPr>
                  <w:instrText xml:space="preserve"> PAGEREF _Toc156846014 \h </w:instrText>
                </w:r>
                <w:r w:rsidRPr="007929E6">
                  <w:rPr>
                    <w:noProof/>
                    <w:webHidden/>
                  </w:rPr>
                </w:r>
                <w:r w:rsidRPr="007929E6">
                  <w:rPr>
                    <w:noProof/>
                    <w:webHidden/>
                  </w:rPr>
                  <w:fldChar w:fldCharType="separate"/>
                </w:r>
                <w:r w:rsidRPr="007929E6">
                  <w:rPr>
                    <w:noProof/>
                    <w:webHidden/>
                  </w:rPr>
                  <w:t>33</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15" w:history="1">
                <w:r w:rsidRPr="007929E6">
                  <w:rPr>
                    <w:rStyle w:val="Hyperlink"/>
                    <w:rFonts w:ascii="Times New Roman" w:hAnsi="Times New Roman" w:cs="Times New Roman"/>
                    <w:noProof/>
                  </w:rPr>
                  <w:t>Pattern Matching Logic</w:t>
                </w:r>
                <w:r w:rsidRPr="007929E6">
                  <w:rPr>
                    <w:noProof/>
                    <w:webHidden/>
                  </w:rPr>
                  <w:tab/>
                </w:r>
                <w:r w:rsidRPr="007929E6">
                  <w:rPr>
                    <w:noProof/>
                    <w:webHidden/>
                  </w:rPr>
                  <w:fldChar w:fldCharType="begin"/>
                </w:r>
                <w:r w:rsidRPr="007929E6">
                  <w:rPr>
                    <w:noProof/>
                    <w:webHidden/>
                  </w:rPr>
                  <w:instrText xml:space="preserve"> PAGEREF _Toc156846015 \h </w:instrText>
                </w:r>
                <w:r w:rsidRPr="007929E6">
                  <w:rPr>
                    <w:noProof/>
                    <w:webHidden/>
                  </w:rPr>
                </w:r>
                <w:r w:rsidRPr="007929E6">
                  <w:rPr>
                    <w:noProof/>
                    <w:webHidden/>
                  </w:rPr>
                  <w:fldChar w:fldCharType="separate"/>
                </w:r>
                <w:r w:rsidRPr="007929E6">
                  <w:rPr>
                    <w:noProof/>
                    <w:webHidden/>
                  </w:rPr>
                  <w:t>33</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16" w:history="1">
                <w:r w:rsidRPr="007929E6">
                  <w:rPr>
                    <w:rStyle w:val="Hyperlink"/>
                    <w:rFonts w:ascii="Times New Roman" w:hAnsi="Times New Roman" w:cs="Times New Roman"/>
                    <w:noProof/>
                  </w:rPr>
                  <w:t>Mitigation of Bias</w:t>
                </w:r>
                <w:r w:rsidRPr="007929E6">
                  <w:rPr>
                    <w:noProof/>
                    <w:webHidden/>
                  </w:rPr>
                  <w:tab/>
                </w:r>
                <w:r w:rsidRPr="007929E6">
                  <w:rPr>
                    <w:noProof/>
                    <w:webHidden/>
                  </w:rPr>
                  <w:fldChar w:fldCharType="begin"/>
                </w:r>
                <w:r w:rsidRPr="007929E6">
                  <w:rPr>
                    <w:noProof/>
                    <w:webHidden/>
                  </w:rPr>
                  <w:instrText xml:space="preserve"> PAGEREF _Toc156846016 \h </w:instrText>
                </w:r>
                <w:r w:rsidRPr="007929E6">
                  <w:rPr>
                    <w:noProof/>
                    <w:webHidden/>
                  </w:rPr>
                </w:r>
                <w:r w:rsidRPr="007929E6">
                  <w:rPr>
                    <w:noProof/>
                    <w:webHidden/>
                  </w:rPr>
                  <w:fldChar w:fldCharType="separate"/>
                </w:r>
                <w:r w:rsidRPr="007929E6">
                  <w:rPr>
                    <w:noProof/>
                    <w:webHidden/>
                  </w:rPr>
                  <w:t>33</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17" w:history="1">
                <w:r w:rsidRPr="007929E6">
                  <w:rPr>
                    <w:rStyle w:val="Hyperlink"/>
                    <w:rFonts w:ascii="Times New Roman" w:hAnsi="Times New Roman" w:cs="Times New Roman"/>
                    <w:noProof/>
                  </w:rPr>
                  <w:t>Transparent Methodology</w:t>
                </w:r>
                <w:r w:rsidRPr="007929E6">
                  <w:rPr>
                    <w:noProof/>
                    <w:webHidden/>
                  </w:rPr>
                  <w:tab/>
                </w:r>
                <w:r w:rsidRPr="007929E6">
                  <w:rPr>
                    <w:noProof/>
                    <w:webHidden/>
                  </w:rPr>
                  <w:fldChar w:fldCharType="begin"/>
                </w:r>
                <w:r w:rsidRPr="007929E6">
                  <w:rPr>
                    <w:noProof/>
                    <w:webHidden/>
                  </w:rPr>
                  <w:instrText xml:space="preserve"> PAGEREF _Toc156846017 \h </w:instrText>
                </w:r>
                <w:r w:rsidRPr="007929E6">
                  <w:rPr>
                    <w:noProof/>
                    <w:webHidden/>
                  </w:rPr>
                </w:r>
                <w:r w:rsidRPr="007929E6">
                  <w:rPr>
                    <w:noProof/>
                    <w:webHidden/>
                  </w:rPr>
                  <w:fldChar w:fldCharType="separate"/>
                </w:r>
                <w:r w:rsidRPr="007929E6">
                  <w:rPr>
                    <w:noProof/>
                    <w:webHidden/>
                  </w:rPr>
                  <w:t>33</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18" w:history="1">
                <w:r w:rsidRPr="007929E6">
                  <w:rPr>
                    <w:rStyle w:val="Hyperlink"/>
                    <w:rFonts w:ascii="Times New Roman" w:hAnsi="Times New Roman" w:cs="Times New Roman"/>
                    <w:noProof/>
                  </w:rPr>
                  <w:t>Diverse Data Sources</w:t>
                </w:r>
                <w:r w:rsidRPr="007929E6">
                  <w:rPr>
                    <w:noProof/>
                    <w:webHidden/>
                  </w:rPr>
                  <w:tab/>
                </w:r>
                <w:r w:rsidRPr="007929E6">
                  <w:rPr>
                    <w:noProof/>
                    <w:webHidden/>
                  </w:rPr>
                  <w:fldChar w:fldCharType="begin"/>
                </w:r>
                <w:r w:rsidRPr="007929E6">
                  <w:rPr>
                    <w:noProof/>
                    <w:webHidden/>
                  </w:rPr>
                  <w:instrText xml:space="preserve"> PAGEREF _Toc156846018 \h </w:instrText>
                </w:r>
                <w:r w:rsidRPr="007929E6">
                  <w:rPr>
                    <w:noProof/>
                    <w:webHidden/>
                  </w:rPr>
                </w:r>
                <w:r w:rsidRPr="007929E6">
                  <w:rPr>
                    <w:noProof/>
                    <w:webHidden/>
                  </w:rPr>
                  <w:fldChar w:fldCharType="separate"/>
                </w:r>
                <w:r w:rsidRPr="007929E6">
                  <w:rPr>
                    <w:noProof/>
                    <w:webHidden/>
                  </w:rPr>
                  <w:t>34</w:t>
                </w:r>
                <w:r w:rsidRPr="007929E6">
                  <w:rPr>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6019" w:history="1">
                <w:r w:rsidRPr="007929E6">
                  <w:rPr>
                    <w:rStyle w:val="Hyperlink"/>
                    <w:b w:val="0"/>
                    <w:noProof/>
                  </w:rPr>
                  <w:t>Chapter: 3</w:t>
                </w:r>
                <w:r w:rsidRPr="007929E6">
                  <w:rPr>
                    <w:b w:val="0"/>
                    <w:noProof/>
                    <w:webHidden/>
                  </w:rPr>
                  <w:tab/>
                </w:r>
                <w:r w:rsidRPr="007929E6">
                  <w:rPr>
                    <w:b w:val="0"/>
                    <w:noProof/>
                    <w:webHidden/>
                  </w:rPr>
                  <w:fldChar w:fldCharType="begin"/>
                </w:r>
                <w:r w:rsidRPr="007929E6">
                  <w:rPr>
                    <w:b w:val="0"/>
                    <w:noProof/>
                    <w:webHidden/>
                  </w:rPr>
                  <w:instrText xml:space="preserve"> PAGEREF _Toc156846019 \h </w:instrText>
                </w:r>
                <w:r w:rsidRPr="007929E6">
                  <w:rPr>
                    <w:b w:val="0"/>
                    <w:noProof/>
                    <w:webHidden/>
                  </w:rPr>
                </w:r>
                <w:r w:rsidRPr="007929E6">
                  <w:rPr>
                    <w:b w:val="0"/>
                    <w:noProof/>
                    <w:webHidden/>
                  </w:rPr>
                  <w:fldChar w:fldCharType="separate"/>
                </w:r>
                <w:r w:rsidRPr="007929E6">
                  <w:rPr>
                    <w:b w:val="0"/>
                    <w:noProof/>
                    <w:webHidden/>
                  </w:rPr>
                  <w:t>36</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6020" w:history="1">
                <w:r w:rsidRPr="007929E6">
                  <w:rPr>
                    <w:rStyle w:val="Hyperlink"/>
                    <w:b w:val="0"/>
                    <w:noProof/>
                  </w:rPr>
                  <w:t>Results &amp; Discussion</w:t>
                </w:r>
                <w:r w:rsidRPr="007929E6">
                  <w:rPr>
                    <w:b w:val="0"/>
                    <w:noProof/>
                    <w:webHidden/>
                  </w:rPr>
                  <w:tab/>
                </w:r>
                <w:r w:rsidRPr="007929E6">
                  <w:rPr>
                    <w:b w:val="0"/>
                    <w:noProof/>
                    <w:webHidden/>
                  </w:rPr>
                  <w:fldChar w:fldCharType="begin"/>
                </w:r>
                <w:r w:rsidRPr="007929E6">
                  <w:rPr>
                    <w:b w:val="0"/>
                    <w:noProof/>
                    <w:webHidden/>
                  </w:rPr>
                  <w:instrText xml:space="preserve"> PAGEREF _Toc156846020 \h </w:instrText>
                </w:r>
                <w:r w:rsidRPr="007929E6">
                  <w:rPr>
                    <w:b w:val="0"/>
                    <w:noProof/>
                    <w:webHidden/>
                  </w:rPr>
                </w:r>
                <w:r w:rsidRPr="007929E6">
                  <w:rPr>
                    <w:b w:val="0"/>
                    <w:noProof/>
                    <w:webHidden/>
                  </w:rPr>
                  <w:fldChar w:fldCharType="separate"/>
                </w:r>
                <w:r w:rsidRPr="007929E6">
                  <w:rPr>
                    <w:b w:val="0"/>
                    <w:noProof/>
                    <w:webHidden/>
                  </w:rPr>
                  <w:t>36</w:t>
                </w:r>
                <w:r w:rsidRPr="007929E6">
                  <w:rPr>
                    <w:b w:val="0"/>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21" w:history="1">
                <w:r w:rsidRPr="007929E6">
                  <w:rPr>
                    <w:rStyle w:val="Hyperlink"/>
                    <w:rFonts w:ascii="Times New Roman" w:hAnsi="Times New Roman" w:cs="Times New Roman"/>
                    <w:noProof/>
                  </w:rPr>
                  <w:t>Introduction</w:t>
                </w:r>
                <w:r w:rsidRPr="007929E6">
                  <w:rPr>
                    <w:noProof/>
                    <w:webHidden/>
                  </w:rPr>
                  <w:tab/>
                </w:r>
                <w:r w:rsidRPr="007929E6">
                  <w:rPr>
                    <w:noProof/>
                    <w:webHidden/>
                  </w:rPr>
                  <w:fldChar w:fldCharType="begin"/>
                </w:r>
                <w:r w:rsidRPr="007929E6">
                  <w:rPr>
                    <w:noProof/>
                    <w:webHidden/>
                  </w:rPr>
                  <w:instrText xml:space="preserve"> PAGEREF _Toc156846021 \h </w:instrText>
                </w:r>
                <w:r w:rsidRPr="007929E6">
                  <w:rPr>
                    <w:noProof/>
                    <w:webHidden/>
                  </w:rPr>
                </w:r>
                <w:r w:rsidRPr="007929E6">
                  <w:rPr>
                    <w:noProof/>
                    <w:webHidden/>
                  </w:rPr>
                  <w:fldChar w:fldCharType="separate"/>
                </w:r>
                <w:r w:rsidRPr="007929E6">
                  <w:rPr>
                    <w:noProof/>
                    <w:webHidden/>
                  </w:rPr>
                  <w:t>36</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22" w:history="1">
                <w:r w:rsidRPr="007929E6">
                  <w:rPr>
                    <w:rStyle w:val="Hyperlink"/>
                    <w:rFonts w:ascii="Times New Roman" w:hAnsi="Times New Roman" w:cs="Times New Roman"/>
                    <w:noProof/>
                  </w:rPr>
                  <w:t>ESG Performance Analysis of Selected Financial Institutions</w:t>
                </w:r>
                <w:r w:rsidRPr="007929E6">
                  <w:rPr>
                    <w:noProof/>
                    <w:webHidden/>
                  </w:rPr>
                  <w:tab/>
                </w:r>
                <w:r w:rsidRPr="007929E6">
                  <w:rPr>
                    <w:noProof/>
                    <w:webHidden/>
                  </w:rPr>
                  <w:fldChar w:fldCharType="begin"/>
                </w:r>
                <w:r w:rsidRPr="007929E6">
                  <w:rPr>
                    <w:noProof/>
                    <w:webHidden/>
                  </w:rPr>
                  <w:instrText xml:space="preserve"> PAGEREF _Toc156846022 \h </w:instrText>
                </w:r>
                <w:r w:rsidRPr="007929E6">
                  <w:rPr>
                    <w:noProof/>
                    <w:webHidden/>
                  </w:rPr>
                </w:r>
                <w:r w:rsidRPr="007929E6">
                  <w:rPr>
                    <w:noProof/>
                    <w:webHidden/>
                  </w:rPr>
                  <w:fldChar w:fldCharType="separate"/>
                </w:r>
                <w:r w:rsidRPr="007929E6">
                  <w:rPr>
                    <w:noProof/>
                    <w:webHidden/>
                  </w:rPr>
                  <w:t>37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23" w:history="1">
                <w:r w:rsidRPr="007929E6">
                  <w:rPr>
                    <w:rStyle w:val="Hyperlink"/>
                    <w:rFonts w:ascii="Times New Roman" w:hAnsi="Times New Roman" w:cs="Times New Roman"/>
                    <w:noProof/>
                  </w:rPr>
                  <w:t>Intesa Sanpaolo</w:t>
                </w:r>
                <w:r w:rsidRPr="007929E6">
                  <w:rPr>
                    <w:noProof/>
                    <w:webHidden/>
                  </w:rPr>
                  <w:tab/>
                </w:r>
                <w:r w:rsidRPr="007929E6">
                  <w:rPr>
                    <w:noProof/>
                    <w:webHidden/>
                  </w:rPr>
                  <w:fldChar w:fldCharType="begin"/>
                </w:r>
                <w:r w:rsidRPr="007929E6">
                  <w:rPr>
                    <w:noProof/>
                    <w:webHidden/>
                  </w:rPr>
                  <w:instrText xml:space="preserve"> PAGEREF _Toc156846023 \h </w:instrText>
                </w:r>
                <w:r w:rsidRPr="007929E6">
                  <w:rPr>
                    <w:noProof/>
                    <w:webHidden/>
                  </w:rPr>
                </w:r>
                <w:r w:rsidRPr="007929E6">
                  <w:rPr>
                    <w:noProof/>
                    <w:webHidden/>
                  </w:rPr>
                  <w:fldChar w:fldCharType="separate"/>
                </w:r>
                <w:r w:rsidRPr="007929E6">
                  <w:rPr>
                    <w:noProof/>
                    <w:webHidden/>
                  </w:rPr>
                  <w:t>37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24" w:history="1">
                <w:r w:rsidRPr="007929E6">
                  <w:rPr>
                    <w:rStyle w:val="Hyperlink"/>
                    <w:rFonts w:ascii="Times New Roman" w:hAnsi="Times New Roman" w:cs="Times New Roman"/>
                    <w:noProof/>
                  </w:rPr>
                  <w:t>Nordea Bank</w:t>
                </w:r>
                <w:r w:rsidRPr="007929E6">
                  <w:rPr>
                    <w:noProof/>
                    <w:webHidden/>
                  </w:rPr>
                  <w:tab/>
                </w:r>
                <w:r w:rsidRPr="007929E6">
                  <w:rPr>
                    <w:noProof/>
                    <w:webHidden/>
                  </w:rPr>
                  <w:fldChar w:fldCharType="begin"/>
                </w:r>
                <w:r w:rsidRPr="007929E6">
                  <w:rPr>
                    <w:noProof/>
                    <w:webHidden/>
                  </w:rPr>
                  <w:instrText xml:space="preserve"> PAGEREF _Toc156846024 \h </w:instrText>
                </w:r>
                <w:r w:rsidRPr="007929E6">
                  <w:rPr>
                    <w:noProof/>
                    <w:webHidden/>
                  </w:rPr>
                </w:r>
                <w:r w:rsidRPr="007929E6">
                  <w:rPr>
                    <w:noProof/>
                    <w:webHidden/>
                  </w:rPr>
                  <w:fldChar w:fldCharType="separate"/>
                </w:r>
                <w:r w:rsidRPr="007929E6">
                  <w:rPr>
                    <w:noProof/>
                    <w:webHidden/>
                  </w:rPr>
                  <w:t>43</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25" w:history="1">
                <w:r w:rsidRPr="007929E6">
                  <w:rPr>
                    <w:rStyle w:val="Hyperlink"/>
                    <w:rFonts w:ascii="Times New Roman" w:hAnsi="Times New Roman" w:cs="Times New Roman"/>
                    <w:noProof/>
                  </w:rPr>
                  <w:t>ING Group</w:t>
                </w:r>
                <w:r w:rsidRPr="007929E6">
                  <w:rPr>
                    <w:noProof/>
                    <w:webHidden/>
                  </w:rPr>
                  <w:tab/>
                </w:r>
                <w:r w:rsidRPr="007929E6">
                  <w:rPr>
                    <w:noProof/>
                    <w:webHidden/>
                  </w:rPr>
                  <w:fldChar w:fldCharType="begin"/>
                </w:r>
                <w:r w:rsidRPr="007929E6">
                  <w:rPr>
                    <w:noProof/>
                    <w:webHidden/>
                  </w:rPr>
                  <w:instrText xml:space="preserve"> PAGEREF _Toc156846025 \h </w:instrText>
                </w:r>
                <w:r w:rsidRPr="007929E6">
                  <w:rPr>
                    <w:noProof/>
                    <w:webHidden/>
                  </w:rPr>
                </w:r>
                <w:r w:rsidRPr="007929E6">
                  <w:rPr>
                    <w:noProof/>
                    <w:webHidden/>
                  </w:rPr>
                  <w:fldChar w:fldCharType="separate"/>
                </w:r>
                <w:r w:rsidRPr="007929E6">
                  <w:rPr>
                    <w:noProof/>
                    <w:webHidden/>
                  </w:rPr>
                  <w:t>47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26" w:history="1">
                <w:r w:rsidRPr="007929E6">
                  <w:rPr>
                    <w:rStyle w:val="Hyperlink"/>
                    <w:rFonts w:ascii="Times New Roman" w:hAnsi="Times New Roman" w:cs="Times New Roman"/>
                    <w:noProof/>
                  </w:rPr>
                  <w:t>BNP Paribas</w:t>
                </w:r>
                <w:r w:rsidRPr="007929E6">
                  <w:rPr>
                    <w:noProof/>
                    <w:webHidden/>
                  </w:rPr>
                  <w:tab/>
                </w:r>
                <w:r w:rsidRPr="007929E6">
                  <w:rPr>
                    <w:noProof/>
                    <w:webHidden/>
                  </w:rPr>
                  <w:fldChar w:fldCharType="begin"/>
                </w:r>
                <w:r w:rsidRPr="007929E6">
                  <w:rPr>
                    <w:noProof/>
                    <w:webHidden/>
                  </w:rPr>
                  <w:instrText xml:space="preserve"> PAGEREF _Toc156846026 \h </w:instrText>
                </w:r>
                <w:r w:rsidRPr="007929E6">
                  <w:rPr>
                    <w:noProof/>
                    <w:webHidden/>
                  </w:rPr>
                </w:r>
                <w:r w:rsidRPr="007929E6">
                  <w:rPr>
                    <w:noProof/>
                    <w:webHidden/>
                  </w:rPr>
                  <w:fldChar w:fldCharType="separate"/>
                </w:r>
                <w:r w:rsidRPr="007929E6">
                  <w:rPr>
                    <w:noProof/>
                    <w:webHidden/>
                  </w:rPr>
                  <w:t>53</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27" w:history="1">
                <w:r w:rsidRPr="007929E6">
                  <w:rPr>
                    <w:rStyle w:val="Hyperlink"/>
                    <w:rFonts w:ascii="Times New Roman" w:hAnsi="Times New Roman" w:cs="Times New Roman"/>
                    <w:noProof/>
                  </w:rPr>
                  <w:t>BCO Santander</w:t>
                </w:r>
                <w:r w:rsidRPr="007929E6">
                  <w:rPr>
                    <w:noProof/>
                    <w:webHidden/>
                  </w:rPr>
                  <w:tab/>
                </w:r>
                <w:r w:rsidRPr="007929E6">
                  <w:rPr>
                    <w:noProof/>
                    <w:webHidden/>
                  </w:rPr>
                  <w:fldChar w:fldCharType="begin"/>
                </w:r>
                <w:r w:rsidRPr="007929E6">
                  <w:rPr>
                    <w:noProof/>
                    <w:webHidden/>
                  </w:rPr>
                  <w:instrText xml:space="preserve"> PAGEREF _Toc156846027 \h </w:instrText>
                </w:r>
                <w:r w:rsidRPr="007929E6">
                  <w:rPr>
                    <w:noProof/>
                    <w:webHidden/>
                  </w:rPr>
                </w:r>
                <w:r w:rsidRPr="007929E6">
                  <w:rPr>
                    <w:noProof/>
                    <w:webHidden/>
                  </w:rPr>
                  <w:fldChar w:fldCharType="separate"/>
                </w:r>
                <w:r w:rsidRPr="007929E6">
                  <w:rPr>
                    <w:noProof/>
                    <w:webHidden/>
                  </w:rPr>
                  <w:t>58</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28" w:history="1">
                <w:r w:rsidRPr="007929E6">
                  <w:rPr>
                    <w:rStyle w:val="Hyperlink"/>
                    <w:rFonts w:ascii="Times New Roman" w:hAnsi="Times New Roman" w:cs="Times New Roman"/>
                    <w:noProof/>
                  </w:rPr>
                  <w:t>Overall ESG Analysis</w:t>
                </w:r>
                <w:r w:rsidRPr="007929E6">
                  <w:rPr>
                    <w:noProof/>
                    <w:webHidden/>
                  </w:rPr>
                  <w:tab/>
                </w:r>
                <w:r w:rsidRPr="007929E6">
                  <w:rPr>
                    <w:noProof/>
                    <w:webHidden/>
                  </w:rPr>
                  <w:fldChar w:fldCharType="begin"/>
                </w:r>
                <w:r w:rsidRPr="007929E6">
                  <w:rPr>
                    <w:noProof/>
                    <w:webHidden/>
                  </w:rPr>
                  <w:instrText xml:space="preserve"> PAGEREF _Toc156846028 \h </w:instrText>
                </w:r>
                <w:r w:rsidRPr="007929E6">
                  <w:rPr>
                    <w:noProof/>
                    <w:webHidden/>
                  </w:rPr>
                </w:r>
                <w:r w:rsidRPr="007929E6">
                  <w:rPr>
                    <w:noProof/>
                    <w:webHidden/>
                  </w:rPr>
                  <w:fldChar w:fldCharType="separate"/>
                </w:r>
                <w:r w:rsidRPr="007929E6">
                  <w:rPr>
                    <w:noProof/>
                    <w:webHidden/>
                  </w:rPr>
                  <w:t>68</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29" w:history="1">
                <w:r w:rsidRPr="007929E6">
                  <w:rPr>
                    <w:rStyle w:val="Hyperlink"/>
                    <w:rFonts w:ascii="Times New Roman" w:hAnsi="Times New Roman" w:cs="Times New Roman"/>
                    <w:noProof/>
                  </w:rPr>
                  <w:t>Comprehensive Analysis of EU Directives, ESG Reporting, and Market Dynamics</w:t>
                </w:r>
                <w:r w:rsidRPr="007929E6">
                  <w:rPr>
                    <w:noProof/>
                    <w:webHidden/>
                  </w:rPr>
                  <w:tab/>
                </w:r>
                <w:r w:rsidRPr="007929E6">
                  <w:rPr>
                    <w:noProof/>
                    <w:webHidden/>
                  </w:rPr>
                  <w:fldChar w:fldCharType="begin"/>
                </w:r>
                <w:r w:rsidRPr="007929E6">
                  <w:rPr>
                    <w:noProof/>
                    <w:webHidden/>
                  </w:rPr>
                  <w:instrText xml:space="preserve"> PAGEREF _Toc156846029 \h </w:instrText>
                </w:r>
                <w:r w:rsidRPr="007929E6">
                  <w:rPr>
                    <w:noProof/>
                    <w:webHidden/>
                  </w:rPr>
                </w:r>
                <w:r w:rsidRPr="007929E6">
                  <w:rPr>
                    <w:noProof/>
                    <w:webHidden/>
                  </w:rPr>
                  <w:fldChar w:fldCharType="separate"/>
                </w:r>
                <w:r w:rsidRPr="007929E6">
                  <w:rPr>
                    <w:noProof/>
                    <w:webHidden/>
                  </w:rPr>
                  <w:t>70</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30" w:history="1">
                <w:r w:rsidRPr="007929E6">
                  <w:rPr>
                    <w:rStyle w:val="Hyperlink"/>
                    <w:rFonts w:ascii="Times New Roman" w:hAnsi="Times New Roman" w:cs="Times New Roman"/>
                    <w:noProof/>
                  </w:rPr>
                  <w:t>Current Regulations and Figures</w:t>
                </w:r>
                <w:r w:rsidRPr="007929E6">
                  <w:rPr>
                    <w:noProof/>
                    <w:webHidden/>
                  </w:rPr>
                  <w:tab/>
                </w:r>
                <w:r w:rsidRPr="007929E6">
                  <w:rPr>
                    <w:noProof/>
                    <w:webHidden/>
                  </w:rPr>
                  <w:fldChar w:fldCharType="begin"/>
                </w:r>
                <w:r w:rsidRPr="007929E6">
                  <w:rPr>
                    <w:noProof/>
                    <w:webHidden/>
                  </w:rPr>
                  <w:instrText xml:space="preserve"> PAGEREF _Toc156846030 \h </w:instrText>
                </w:r>
                <w:r w:rsidRPr="007929E6">
                  <w:rPr>
                    <w:noProof/>
                    <w:webHidden/>
                  </w:rPr>
                </w:r>
                <w:r w:rsidRPr="007929E6">
                  <w:rPr>
                    <w:noProof/>
                    <w:webHidden/>
                  </w:rPr>
                  <w:fldChar w:fldCharType="separate"/>
                </w:r>
                <w:r w:rsidRPr="007929E6">
                  <w:rPr>
                    <w:noProof/>
                    <w:webHidden/>
                  </w:rPr>
                  <w:t>71</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31" w:history="1">
                <w:r w:rsidRPr="007929E6">
                  <w:rPr>
                    <w:rStyle w:val="Hyperlink"/>
                    <w:rFonts w:ascii="Times New Roman" w:hAnsi="Times New Roman" w:cs="Times New Roman"/>
                    <w:noProof/>
                  </w:rPr>
                  <w:t>ESG Reporting Frameworks and Sustainable Development Goals</w:t>
                </w:r>
                <w:r w:rsidRPr="007929E6">
                  <w:rPr>
                    <w:noProof/>
                    <w:webHidden/>
                  </w:rPr>
                  <w:tab/>
                </w:r>
                <w:r w:rsidRPr="007929E6">
                  <w:rPr>
                    <w:noProof/>
                    <w:webHidden/>
                  </w:rPr>
                  <w:fldChar w:fldCharType="begin"/>
                </w:r>
                <w:r w:rsidRPr="007929E6">
                  <w:rPr>
                    <w:noProof/>
                    <w:webHidden/>
                  </w:rPr>
                  <w:instrText xml:space="preserve"> PAGEREF _Toc156846031 \h </w:instrText>
                </w:r>
                <w:r w:rsidRPr="007929E6">
                  <w:rPr>
                    <w:noProof/>
                    <w:webHidden/>
                  </w:rPr>
                </w:r>
                <w:r w:rsidRPr="007929E6">
                  <w:rPr>
                    <w:noProof/>
                    <w:webHidden/>
                  </w:rPr>
                  <w:fldChar w:fldCharType="separate"/>
                </w:r>
                <w:r w:rsidRPr="007929E6">
                  <w:rPr>
                    <w:noProof/>
                    <w:webHidden/>
                  </w:rPr>
                  <w:t>72</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32" w:history="1">
                <w:r w:rsidRPr="007929E6">
                  <w:rPr>
                    <w:rStyle w:val="Hyperlink"/>
                    <w:rFonts w:ascii="Times New Roman" w:hAnsi="Times New Roman" w:cs="Times New Roman"/>
                    <w:noProof/>
                  </w:rPr>
                  <w:t>Sustainability Departments in Corporations</w:t>
                </w:r>
                <w:r w:rsidRPr="007929E6">
                  <w:rPr>
                    <w:noProof/>
                    <w:webHidden/>
                  </w:rPr>
                  <w:tab/>
                </w:r>
                <w:r w:rsidRPr="007929E6">
                  <w:rPr>
                    <w:noProof/>
                    <w:webHidden/>
                  </w:rPr>
                  <w:fldChar w:fldCharType="begin"/>
                </w:r>
                <w:r w:rsidRPr="007929E6">
                  <w:rPr>
                    <w:noProof/>
                    <w:webHidden/>
                  </w:rPr>
                  <w:instrText xml:space="preserve"> PAGEREF _Toc156846032 \h </w:instrText>
                </w:r>
                <w:r w:rsidRPr="007929E6">
                  <w:rPr>
                    <w:noProof/>
                    <w:webHidden/>
                  </w:rPr>
                </w:r>
                <w:r w:rsidRPr="007929E6">
                  <w:rPr>
                    <w:noProof/>
                    <w:webHidden/>
                  </w:rPr>
                  <w:fldChar w:fldCharType="separate"/>
                </w:r>
                <w:r w:rsidRPr="007929E6">
                  <w:rPr>
                    <w:noProof/>
                    <w:webHidden/>
                  </w:rPr>
                  <w:t>74</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33" w:history="1">
                <w:r w:rsidRPr="007929E6">
                  <w:rPr>
                    <w:rStyle w:val="Hyperlink"/>
                    <w:rFonts w:ascii="Times New Roman" w:hAnsi="Times New Roman" w:cs="Times New Roman"/>
                    <w:noProof/>
                  </w:rPr>
                  <w:t>SWOT Analysis</w:t>
                </w:r>
                <w:r w:rsidRPr="007929E6">
                  <w:rPr>
                    <w:noProof/>
                    <w:webHidden/>
                  </w:rPr>
                  <w:tab/>
                </w:r>
                <w:r w:rsidRPr="007929E6">
                  <w:rPr>
                    <w:noProof/>
                    <w:webHidden/>
                  </w:rPr>
                  <w:fldChar w:fldCharType="begin"/>
                </w:r>
                <w:r w:rsidRPr="007929E6">
                  <w:rPr>
                    <w:noProof/>
                    <w:webHidden/>
                  </w:rPr>
                  <w:instrText xml:space="preserve"> PAGEREF _Toc156846033 \h </w:instrText>
                </w:r>
                <w:r w:rsidRPr="007929E6">
                  <w:rPr>
                    <w:noProof/>
                    <w:webHidden/>
                  </w:rPr>
                </w:r>
                <w:r w:rsidRPr="007929E6">
                  <w:rPr>
                    <w:noProof/>
                    <w:webHidden/>
                  </w:rPr>
                  <w:fldChar w:fldCharType="separate"/>
                </w:r>
                <w:r w:rsidRPr="007929E6">
                  <w:rPr>
                    <w:noProof/>
                    <w:webHidden/>
                  </w:rPr>
                  <w:t>75</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34" w:history="1">
                <w:r w:rsidRPr="007929E6">
                  <w:rPr>
                    <w:rStyle w:val="Hyperlink"/>
                    <w:rFonts w:ascii="Times New Roman" w:hAnsi="Times New Roman" w:cs="Times New Roman"/>
                    <w:noProof/>
                  </w:rPr>
                  <w:t>Application and Significance</w:t>
                </w:r>
                <w:r w:rsidRPr="007929E6">
                  <w:rPr>
                    <w:noProof/>
                    <w:webHidden/>
                  </w:rPr>
                  <w:tab/>
                </w:r>
                <w:r w:rsidRPr="007929E6">
                  <w:rPr>
                    <w:noProof/>
                    <w:webHidden/>
                  </w:rPr>
                  <w:fldChar w:fldCharType="begin"/>
                </w:r>
                <w:r w:rsidRPr="007929E6">
                  <w:rPr>
                    <w:noProof/>
                    <w:webHidden/>
                  </w:rPr>
                  <w:instrText xml:space="preserve"> PAGEREF _Toc156846034 \h </w:instrText>
                </w:r>
                <w:r w:rsidRPr="007929E6">
                  <w:rPr>
                    <w:noProof/>
                    <w:webHidden/>
                  </w:rPr>
                </w:r>
                <w:r w:rsidRPr="007929E6">
                  <w:rPr>
                    <w:noProof/>
                    <w:webHidden/>
                  </w:rPr>
                  <w:fldChar w:fldCharType="separate"/>
                </w:r>
                <w:r w:rsidRPr="007929E6">
                  <w:rPr>
                    <w:noProof/>
                    <w:webHidden/>
                  </w:rPr>
                  <w:t>77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35" w:history="1">
                <w:r w:rsidRPr="007929E6">
                  <w:rPr>
                    <w:rStyle w:val="Hyperlink"/>
                    <w:rFonts w:ascii="Times New Roman" w:hAnsi="Times New Roman" w:cs="Times New Roman"/>
                    <w:noProof/>
                  </w:rPr>
                  <w:t>Investor Behavior and ESG Ratings</w:t>
                </w:r>
                <w:r w:rsidRPr="007929E6">
                  <w:rPr>
                    <w:noProof/>
                    <w:webHidden/>
                  </w:rPr>
                  <w:tab/>
                </w:r>
                <w:r w:rsidRPr="007929E6">
                  <w:rPr>
                    <w:noProof/>
                    <w:webHidden/>
                  </w:rPr>
                  <w:fldChar w:fldCharType="begin"/>
                </w:r>
                <w:r w:rsidRPr="007929E6">
                  <w:rPr>
                    <w:noProof/>
                    <w:webHidden/>
                  </w:rPr>
                  <w:instrText xml:space="preserve"> PAGEREF _Toc156846035 \h </w:instrText>
                </w:r>
                <w:r w:rsidRPr="007929E6">
                  <w:rPr>
                    <w:noProof/>
                    <w:webHidden/>
                  </w:rPr>
                </w:r>
                <w:r w:rsidRPr="007929E6">
                  <w:rPr>
                    <w:noProof/>
                    <w:webHidden/>
                  </w:rPr>
                  <w:fldChar w:fldCharType="separate"/>
                </w:r>
                <w:r w:rsidRPr="007929E6">
                  <w:rPr>
                    <w:noProof/>
                    <w:webHidden/>
                  </w:rPr>
                  <w:t>77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36" w:history="1">
                <w:r w:rsidRPr="007929E6">
                  <w:rPr>
                    <w:rStyle w:val="Hyperlink"/>
                    <w:rFonts w:ascii="Times New Roman" w:hAnsi="Times New Roman" w:cs="Times New Roman"/>
                    <w:noProof/>
                  </w:rPr>
                  <w:t>Investor Preferences for Smaller Companies</w:t>
                </w:r>
                <w:r w:rsidRPr="007929E6">
                  <w:rPr>
                    <w:noProof/>
                    <w:webHidden/>
                  </w:rPr>
                  <w:tab/>
                </w:r>
                <w:r w:rsidRPr="007929E6">
                  <w:rPr>
                    <w:noProof/>
                    <w:webHidden/>
                  </w:rPr>
                  <w:fldChar w:fldCharType="begin"/>
                </w:r>
                <w:r w:rsidRPr="007929E6">
                  <w:rPr>
                    <w:noProof/>
                    <w:webHidden/>
                  </w:rPr>
                  <w:instrText xml:space="preserve"> PAGEREF _Toc156846036 \h </w:instrText>
                </w:r>
                <w:r w:rsidRPr="007929E6">
                  <w:rPr>
                    <w:noProof/>
                    <w:webHidden/>
                  </w:rPr>
                </w:r>
                <w:r w:rsidRPr="007929E6">
                  <w:rPr>
                    <w:noProof/>
                    <w:webHidden/>
                  </w:rPr>
                  <w:fldChar w:fldCharType="separate"/>
                </w:r>
                <w:r w:rsidRPr="007929E6">
                  <w:rPr>
                    <w:noProof/>
                    <w:webHidden/>
                  </w:rPr>
                  <w:t>77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37" w:history="1">
                <w:r w:rsidRPr="007929E6">
                  <w:rPr>
                    <w:rStyle w:val="Hyperlink"/>
                    <w:rFonts w:ascii="Times New Roman" w:hAnsi="Times New Roman" w:cs="Times New Roman"/>
                    <w:noProof/>
                  </w:rPr>
                  <w:t>Fresh Perspectives on Portfolio Structure</w:t>
                </w:r>
                <w:r w:rsidRPr="007929E6">
                  <w:rPr>
                    <w:noProof/>
                    <w:webHidden/>
                  </w:rPr>
                  <w:tab/>
                </w:r>
                <w:r w:rsidRPr="007929E6">
                  <w:rPr>
                    <w:noProof/>
                    <w:webHidden/>
                  </w:rPr>
                  <w:fldChar w:fldCharType="begin"/>
                </w:r>
                <w:r w:rsidRPr="007929E6">
                  <w:rPr>
                    <w:noProof/>
                    <w:webHidden/>
                  </w:rPr>
                  <w:instrText xml:space="preserve"> PAGEREF _Toc156846037 \h </w:instrText>
                </w:r>
                <w:r w:rsidRPr="007929E6">
                  <w:rPr>
                    <w:noProof/>
                    <w:webHidden/>
                  </w:rPr>
                </w:r>
                <w:r w:rsidRPr="007929E6">
                  <w:rPr>
                    <w:noProof/>
                    <w:webHidden/>
                  </w:rPr>
                  <w:fldChar w:fldCharType="separate"/>
                </w:r>
                <w:r w:rsidRPr="007929E6">
                  <w:rPr>
                    <w:noProof/>
                    <w:webHidden/>
                  </w:rPr>
                  <w:t>77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38" w:history="1">
                <w:r w:rsidRPr="007929E6">
                  <w:rPr>
                    <w:rStyle w:val="Hyperlink"/>
                    <w:rFonts w:ascii="Times New Roman" w:hAnsi="Times New Roman" w:cs="Times New Roman"/>
                    <w:noProof/>
                  </w:rPr>
                  <w:t>Importance of ESG Education</w:t>
                </w:r>
                <w:r w:rsidRPr="007929E6">
                  <w:rPr>
                    <w:noProof/>
                    <w:webHidden/>
                  </w:rPr>
                  <w:tab/>
                </w:r>
                <w:r w:rsidRPr="007929E6">
                  <w:rPr>
                    <w:noProof/>
                    <w:webHidden/>
                  </w:rPr>
                  <w:fldChar w:fldCharType="begin"/>
                </w:r>
                <w:r w:rsidRPr="007929E6">
                  <w:rPr>
                    <w:noProof/>
                    <w:webHidden/>
                  </w:rPr>
                  <w:instrText xml:space="preserve"> PAGEREF _Toc156846038 \h </w:instrText>
                </w:r>
                <w:r w:rsidRPr="007929E6">
                  <w:rPr>
                    <w:noProof/>
                    <w:webHidden/>
                  </w:rPr>
                </w:r>
                <w:r w:rsidRPr="007929E6">
                  <w:rPr>
                    <w:noProof/>
                    <w:webHidden/>
                  </w:rPr>
                  <w:fldChar w:fldCharType="separate"/>
                </w:r>
                <w:r w:rsidRPr="007929E6">
                  <w:rPr>
                    <w:noProof/>
                    <w:webHidden/>
                  </w:rPr>
                  <w:t>77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39" w:history="1">
                <w:r w:rsidRPr="007929E6">
                  <w:rPr>
                    <w:rStyle w:val="Hyperlink"/>
                    <w:rFonts w:ascii="Times New Roman" w:hAnsi="Times New Roman" w:cs="Times New Roman"/>
                    <w:noProof/>
                  </w:rPr>
                  <w:t>European Investors and Sustainable Funds</w:t>
                </w:r>
                <w:r w:rsidRPr="007929E6">
                  <w:rPr>
                    <w:noProof/>
                    <w:webHidden/>
                  </w:rPr>
                  <w:tab/>
                </w:r>
                <w:r w:rsidRPr="007929E6">
                  <w:rPr>
                    <w:noProof/>
                    <w:webHidden/>
                  </w:rPr>
                  <w:fldChar w:fldCharType="begin"/>
                </w:r>
                <w:r w:rsidRPr="007929E6">
                  <w:rPr>
                    <w:noProof/>
                    <w:webHidden/>
                  </w:rPr>
                  <w:instrText xml:space="preserve"> PAGEREF _Toc156846039 \h </w:instrText>
                </w:r>
                <w:r w:rsidRPr="007929E6">
                  <w:rPr>
                    <w:noProof/>
                    <w:webHidden/>
                  </w:rPr>
                </w:r>
                <w:r w:rsidRPr="007929E6">
                  <w:rPr>
                    <w:noProof/>
                    <w:webHidden/>
                  </w:rPr>
                  <w:fldChar w:fldCharType="separate"/>
                </w:r>
                <w:r w:rsidRPr="007929E6">
                  <w:rPr>
                    <w:noProof/>
                    <w:webHidden/>
                  </w:rPr>
                  <w:t>77</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40" w:history="1">
                <w:r w:rsidRPr="007929E6">
                  <w:rPr>
                    <w:rStyle w:val="Hyperlink"/>
                    <w:rFonts w:ascii="Times New Roman" w:hAnsi="Times New Roman" w:cs="Times New Roman"/>
                    <w:noProof/>
                  </w:rPr>
                  <w:t>Conclusion</w:t>
                </w:r>
                <w:r w:rsidRPr="007929E6">
                  <w:rPr>
                    <w:noProof/>
                    <w:webHidden/>
                  </w:rPr>
                  <w:tab/>
                </w:r>
                <w:r w:rsidRPr="007929E6">
                  <w:rPr>
                    <w:noProof/>
                    <w:webHidden/>
                  </w:rPr>
                  <w:fldChar w:fldCharType="begin"/>
                </w:r>
                <w:r w:rsidRPr="007929E6">
                  <w:rPr>
                    <w:noProof/>
                    <w:webHidden/>
                  </w:rPr>
                  <w:instrText xml:space="preserve"> PAGEREF _Toc156846040 \h </w:instrText>
                </w:r>
                <w:r w:rsidRPr="007929E6">
                  <w:rPr>
                    <w:noProof/>
                    <w:webHidden/>
                  </w:rPr>
                </w:r>
                <w:r w:rsidRPr="007929E6">
                  <w:rPr>
                    <w:noProof/>
                    <w:webHidden/>
                  </w:rPr>
                  <w:fldChar w:fldCharType="separate"/>
                </w:r>
                <w:r w:rsidRPr="007929E6">
                  <w:rPr>
                    <w:noProof/>
                    <w:webHidden/>
                  </w:rPr>
                  <w:t>78</w:t>
                </w:r>
                <w:r w:rsidRPr="007929E6">
                  <w:rPr>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6041" w:history="1">
                <w:r w:rsidRPr="007929E6">
                  <w:rPr>
                    <w:rStyle w:val="Hyperlink"/>
                    <w:b w:val="0"/>
                    <w:noProof/>
                  </w:rPr>
                  <w:t>Chapter: 4</w:t>
                </w:r>
                <w:r w:rsidRPr="007929E6">
                  <w:rPr>
                    <w:b w:val="0"/>
                    <w:noProof/>
                    <w:webHidden/>
                  </w:rPr>
                  <w:tab/>
                </w:r>
                <w:r w:rsidRPr="007929E6">
                  <w:rPr>
                    <w:b w:val="0"/>
                    <w:noProof/>
                    <w:webHidden/>
                  </w:rPr>
                  <w:fldChar w:fldCharType="begin"/>
                </w:r>
                <w:r w:rsidRPr="007929E6">
                  <w:rPr>
                    <w:b w:val="0"/>
                    <w:noProof/>
                    <w:webHidden/>
                  </w:rPr>
                  <w:instrText xml:space="preserve"> PAGEREF _Toc156846041 \h </w:instrText>
                </w:r>
                <w:r w:rsidRPr="007929E6">
                  <w:rPr>
                    <w:b w:val="0"/>
                    <w:noProof/>
                    <w:webHidden/>
                  </w:rPr>
                </w:r>
                <w:r w:rsidRPr="007929E6">
                  <w:rPr>
                    <w:b w:val="0"/>
                    <w:noProof/>
                    <w:webHidden/>
                  </w:rPr>
                  <w:fldChar w:fldCharType="separate"/>
                </w:r>
                <w:r w:rsidRPr="007929E6">
                  <w:rPr>
                    <w:b w:val="0"/>
                    <w:noProof/>
                    <w:webHidden/>
                  </w:rPr>
                  <w:t>79</w:t>
                </w:r>
                <w:r w:rsidRPr="007929E6">
                  <w:rPr>
                    <w:b w:val="0"/>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6042" w:history="1">
                <w:r w:rsidRPr="007929E6">
                  <w:rPr>
                    <w:rStyle w:val="Hyperlink"/>
                    <w:b w:val="0"/>
                    <w:noProof/>
                  </w:rPr>
                  <w:t>Conclusion &amp; Recommendations</w:t>
                </w:r>
                <w:r w:rsidRPr="007929E6">
                  <w:rPr>
                    <w:b w:val="0"/>
                    <w:noProof/>
                    <w:webHidden/>
                  </w:rPr>
                  <w:tab/>
                </w:r>
                <w:r w:rsidRPr="007929E6">
                  <w:rPr>
                    <w:b w:val="0"/>
                    <w:noProof/>
                    <w:webHidden/>
                  </w:rPr>
                  <w:fldChar w:fldCharType="begin"/>
                </w:r>
                <w:r w:rsidRPr="007929E6">
                  <w:rPr>
                    <w:b w:val="0"/>
                    <w:noProof/>
                    <w:webHidden/>
                  </w:rPr>
                  <w:instrText xml:space="preserve"> PAGEREF _Toc156846042 \h </w:instrText>
                </w:r>
                <w:r w:rsidRPr="007929E6">
                  <w:rPr>
                    <w:b w:val="0"/>
                    <w:noProof/>
                    <w:webHidden/>
                  </w:rPr>
                </w:r>
                <w:r w:rsidRPr="007929E6">
                  <w:rPr>
                    <w:b w:val="0"/>
                    <w:noProof/>
                    <w:webHidden/>
                  </w:rPr>
                  <w:fldChar w:fldCharType="separate"/>
                </w:r>
                <w:r w:rsidRPr="007929E6">
                  <w:rPr>
                    <w:b w:val="0"/>
                    <w:noProof/>
                    <w:webHidden/>
                  </w:rPr>
                  <w:t>79</w:t>
                </w:r>
                <w:r w:rsidRPr="007929E6">
                  <w:rPr>
                    <w:b w:val="0"/>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43" w:history="1">
                <w:r w:rsidRPr="007929E6">
                  <w:rPr>
                    <w:rStyle w:val="Hyperlink"/>
                    <w:rFonts w:ascii="Times New Roman" w:hAnsi="Times New Roman" w:cs="Times New Roman"/>
                    <w:noProof/>
                  </w:rPr>
                  <w:t>Overview of Sustainability Initiatives</w:t>
                </w:r>
                <w:r w:rsidRPr="007929E6">
                  <w:rPr>
                    <w:noProof/>
                    <w:webHidden/>
                  </w:rPr>
                  <w:tab/>
                </w:r>
                <w:r w:rsidRPr="007929E6">
                  <w:rPr>
                    <w:noProof/>
                    <w:webHidden/>
                  </w:rPr>
                  <w:fldChar w:fldCharType="begin"/>
                </w:r>
                <w:r w:rsidRPr="007929E6">
                  <w:rPr>
                    <w:noProof/>
                    <w:webHidden/>
                  </w:rPr>
                  <w:instrText xml:space="preserve"> PAGEREF _Toc156846043 \h </w:instrText>
                </w:r>
                <w:r w:rsidRPr="007929E6">
                  <w:rPr>
                    <w:noProof/>
                    <w:webHidden/>
                  </w:rPr>
                </w:r>
                <w:r w:rsidRPr="007929E6">
                  <w:rPr>
                    <w:noProof/>
                    <w:webHidden/>
                  </w:rPr>
                  <w:fldChar w:fldCharType="separate"/>
                </w:r>
                <w:r w:rsidRPr="007929E6">
                  <w:rPr>
                    <w:noProof/>
                    <w:webHidden/>
                  </w:rPr>
                  <w:t>79</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44" w:history="1">
                <w:r w:rsidRPr="007929E6">
                  <w:rPr>
                    <w:rStyle w:val="Hyperlink"/>
                    <w:rFonts w:ascii="Times New Roman" w:hAnsi="Times New Roman" w:cs="Times New Roman"/>
                    <w:noProof/>
                  </w:rPr>
                  <w:t>ESG Integration</w:t>
                </w:r>
                <w:r w:rsidRPr="007929E6">
                  <w:rPr>
                    <w:noProof/>
                    <w:webHidden/>
                  </w:rPr>
                  <w:tab/>
                </w:r>
                <w:r w:rsidRPr="007929E6">
                  <w:rPr>
                    <w:noProof/>
                    <w:webHidden/>
                  </w:rPr>
                  <w:fldChar w:fldCharType="begin"/>
                </w:r>
                <w:r w:rsidRPr="007929E6">
                  <w:rPr>
                    <w:noProof/>
                    <w:webHidden/>
                  </w:rPr>
                  <w:instrText xml:space="preserve"> PAGEREF _Toc156846044 \h </w:instrText>
                </w:r>
                <w:r w:rsidRPr="007929E6">
                  <w:rPr>
                    <w:noProof/>
                    <w:webHidden/>
                  </w:rPr>
                </w:r>
                <w:r w:rsidRPr="007929E6">
                  <w:rPr>
                    <w:noProof/>
                    <w:webHidden/>
                  </w:rPr>
                  <w:fldChar w:fldCharType="separate"/>
                </w:r>
                <w:r w:rsidRPr="007929E6">
                  <w:rPr>
                    <w:noProof/>
                    <w:webHidden/>
                  </w:rPr>
                  <w:t>80</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45" w:history="1">
                <w:r w:rsidRPr="007929E6">
                  <w:rPr>
                    <w:rStyle w:val="Hyperlink"/>
                    <w:rFonts w:ascii="Times New Roman" w:hAnsi="Times New Roman" w:cs="Times New Roman"/>
                    <w:noProof/>
                  </w:rPr>
                  <w:t>Climate Risk Mitigation Strategies</w:t>
                </w:r>
                <w:r w:rsidRPr="007929E6">
                  <w:rPr>
                    <w:noProof/>
                    <w:webHidden/>
                  </w:rPr>
                  <w:tab/>
                </w:r>
                <w:r w:rsidRPr="007929E6">
                  <w:rPr>
                    <w:noProof/>
                    <w:webHidden/>
                  </w:rPr>
                  <w:fldChar w:fldCharType="begin"/>
                </w:r>
                <w:r w:rsidRPr="007929E6">
                  <w:rPr>
                    <w:noProof/>
                    <w:webHidden/>
                  </w:rPr>
                  <w:instrText xml:space="preserve"> PAGEREF _Toc156846045 \h </w:instrText>
                </w:r>
                <w:r w:rsidRPr="007929E6">
                  <w:rPr>
                    <w:noProof/>
                    <w:webHidden/>
                  </w:rPr>
                </w:r>
                <w:r w:rsidRPr="007929E6">
                  <w:rPr>
                    <w:noProof/>
                    <w:webHidden/>
                  </w:rPr>
                  <w:fldChar w:fldCharType="separate"/>
                </w:r>
                <w:r w:rsidRPr="007929E6">
                  <w:rPr>
                    <w:noProof/>
                    <w:webHidden/>
                  </w:rPr>
                  <w:t>80</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46" w:history="1">
                <w:r w:rsidRPr="007929E6">
                  <w:rPr>
                    <w:rStyle w:val="Hyperlink"/>
                    <w:rFonts w:ascii="Times New Roman" w:hAnsi="Times New Roman" w:cs="Times New Roman"/>
                    <w:noProof/>
                  </w:rPr>
                  <w:t>Regulatory Frameworks and Reporting Standards</w:t>
                </w:r>
                <w:r w:rsidRPr="007929E6">
                  <w:rPr>
                    <w:noProof/>
                    <w:webHidden/>
                  </w:rPr>
                  <w:tab/>
                </w:r>
                <w:r w:rsidRPr="007929E6">
                  <w:rPr>
                    <w:noProof/>
                    <w:webHidden/>
                  </w:rPr>
                  <w:fldChar w:fldCharType="begin"/>
                </w:r>
                <w:r w:rsidRPr="007929E6">
                  <w:rPr>
                    <w:noProof/>
                    <w:webHidden/>
                  </w:rPr>
                  <w:instrText xml:space="preserve"> PAGEREF _Toc156846046 \h </w:instrText>
                </w:r>
                <w:r w:rsidRPr="007929E6">
                  <w:rPr>
                    <w:noProof/>
                    <w:webHidden/>
                  </w:rPr>
                </w:r>
                <w:r w:rsidRPr="007929E6">
                  <w:rPr>
                    <w:noProof/>
                    <w:webHidden/>
                  </w:rPr>
                  <w:fldChar w:fldCharType="separate"/>
                </w:r>
                <w:r w:rsidRPr="007929E6">
                  <w:rPr>
                    <w:noProof/>
                    <w:webHidden/>
                  </w:rPr>
                  <w:t>80</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47" w:history="1">
                <w:r w:rsidRPr="007929E6">
                  <w:rPr>
                    <w:rStyle w:val="Hyperlink"/>
                    <w:rFonts w:ascii="Times New Roman" w:hAnsi="Times New Roman" w:cs="Times New Roman"/>
                    <w:noProof/>
                  </w:rPr>
                  <w:t>Navigating Regulatory Compliance</w:t>
                </w:r>
                <w:r w:rsidRPr="007929E6">
                  <w:rPr>
                    <w:noProof/>
                    <w:webHidden/>
                  </w:rPr>
                  <w:tab/>
                </w:r>
                <w:r w:rsidRPr="007929E6">
                  <w:rPr>
                    <w:noProof/>
                    <w:webHidden/>
                  </w:rPr>
                  <w:fldChar w:fldCharType="begin"/>
                </w:r>
                <w:r w:rsidRPr="007929E6">
                  <w:rPr>
                    <w:noProof/>
                    <w:webHidden/>
                  </w:rPr>
                  <w:instrText xml:space="preserve"> PAGEREF _Toc156846047 \h </w:instrText>
                </w:r>
                <w:r w:rsidRPr="007929E6">
                  <w:rPr>
                    <w:noProof/>
                    <w:webHidden/>
                  </w:rPr>
                </w:r>
                <w:r w:rsidRPr="007929E6">
                  <w:rPr>
                    <w:noProof/>
                    <w:webHidden/>
                  </w:rPr>
                  <w:fldChar w:fldCharType="separate"/>
                </w:r>
                <w:r w:rsidRPr="007929E6">
                  <w:rPr>
                    <w:noProof/>
                    <w:webHidden/>
                  </w:rPr>
                  <w:t>80</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48" w:history="1">
                <w:r w:rsidRPr="007929E6">
                  <w:rPr>
                    <w:rStyle w:val="Hyperlink"/>
                    <w:rFonts w:ascii="Times New Roman" w:hAnsi="Times New Roman" w:cs="Times New Roman"/>
                    <w:noProof/>
                  </w:rPr>
                  <w:t>Impact on Stakeholder Relations</w:t>
                </w:r>
                <w:r w:rsidRPr="007929E6">
                  <w:rPr>
                    <w:noProof/>
                    <w:webHidden/>
                  </w:rPr>
                  <w:tab/>
                </w:r>
                <w:r w:rsidRPr="007929E6">
                  <w:rPr>
                    <w:noProof/>
                    <w:webHidden/>
                  </w:rPr>
                  <w:fldChar w:fldCharType="begin"/>
                </w:r>
                <w:r w:rsidRPr="007929E6">
                  <w:rPr>
                    <w:noProof/>
                    <w:webHidden/>
                  </w:rPr>
                  <w:instrText xml:space="preserve"> PAGEREF _Toc156846048 \h </w:instrText>
                </w:r>
                <w:r w:rsidRPr="007929E6">
                  <w:rPr>
                    <w:noProof/>
                    <w:webHidden/>
                  </w:rPr>
                </w:r>
                <w:r w:rsidRPr="007929E6">
                  <w:rPr>
                    <w:noProof/>
                    <w:webHidden/>
                  </w:rPr>
                  <w:fldChar w:fldCharType="separate"/>
                </w:r>
                <w:r w:rsidRPr="007929E6">
                  <w:rPr>
                    <w:noProof/>
                    <w:webHidden/>
                  </w:rPr>
                  <w:t>81</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49" w:history="1">
                <w:r w:rsidRPr="007929E6">
                  <w:rPr>
                    <w:rStyle w:val="Hyperlink"/>
                    <w:rFonts w:ascii="Times New Roman" w:hAnsi="Times New Roman" w:cs="Times New Roman"/>
                    <w:noProof/>
                  </w:rPr>
                  <w:t>Market Overview and Performance</w:t>
                </w:r>
                <w:r w:rsidRPr="007929E6">
                  <w:rPr>
                    <w:noProof/>
                    <w:webHidden/>
                  </w:rPr>
                  <w:tab/>
                </w:r>
                <w:r w:rsidRPr="007929E6">
                  <w:rPr>
                    <w:noProof/>
                    <w:webHidden/>
                  </w:rPr>
                  <w:fldChar w:fldCharType="begin"/>
                </w:r>
                <w:r w:rsidRPr="007929E6">
                  <w:rPr>
                    <w:noProof/>
                    <w:webHidden/>
                  </w:rPr>
                  <w:instrText xml:space="preserve"> PAGEREF _Toc156846049 \h </w:instrText>
                </w:r>
                <w:r w:rsidRPr="007929E6">
                  <w:rPr>
                    <w:noProof/>
                    <w:webHidden/>
                  </w:rPr>
                </w:r>
                <w:r w:rsidRPr="007929E6">
                  <w:rPr>
                    <w:noProof/>
                    <w:webHidden/>
                  </w:rPr>
                  <w:fldChar w:fldCharType="separate"/>
                </w:r>
                <w:r w:rsidRPr="007929E6">
                  <w:rPr>
                    <w:noProof/>
                    <w:webHidden/>
                  </w:rPr>
                  <w:t>81</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0" w:history="1">
                <w:r w:rsidRPr="007929E6">
                  <w:rPr>
                    <w:rStyle w:val="Hyperlink"/>
                    <w:rFonts w:ascii="Times New Roman" w:hAnsi="Times New Roman" w:cs="Times New Roman"/>
                    <w:noProof/>
                  </w:rPr>
                  <w:t>ESG and Financial Indicators</w:t>
                </w:r>
                <w:r w:rsidRPr="007929E6">
                  <w:rPr>
                    <w:noProof/>
                    <w:webHidden/>
                  </w:rPr>
                  <w:tab/>
                </w:r>
                <w:r w:rsidRPr="007929E6">
                  <w:rPr>
                    <w:noProof/>
                    <w:webHidden/>
                  </w:rPr>
                  <w:fldChar w:fldCharType="begin"/>
                </w:r>
                <w:r w:rsidRPr="007929E6">
                  <w:rPr>
                    <w:noProof/>
                    <w:webHidden/>
                  </w:rPr>
                  <w:instrText xml:space="preserve"> PAGEREF _Toc156846050 \h </w:instrText>
                </w:r>
                <w:r w:rsidRPr="007929E6">
                  <w:rPr>
                    <w:noProof/>
                    <w:webHidden/>
                  </w:rPr>
                </w:r>
                <w:r w:rsidRPr="007929E6">
                  <w:rPr>
                    <w:noProof/>
                    <w:webHidden/>
                  </w:rPr>
                  <w:fldChar w:fldCharType="separate"/>
                </w:r>
                <w:r w:rsidRPr="007929E6">
                  <w:rPr>
                    <w:noProof/>
                    <w:webHidden/>
                  </w:rPr>
                  <w:t>81</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1" w:history="1">
                <w:r w:rsidRPr="007929E6">
                  <w:rPr>
                    <w:rStyle w:val="Hyperlink"/>
                    <w:rFonts w:ascii="Times New Roman" w:hAnsi="Times New Roman" w:cs="Times New Roman"/>
                    <w:noProof/>
                  </w:rPr>
                  <w:t>Macro vs. Micro Dynamics</w:t>
                </w:r>
                <w:r w:rsidRPr="007929E6">
                  <w:rPr>
                    <w:noProof/>
                    <w:webHidden/>
                  </w:rPr>
                  <w:tab/>
                </w:r>
                <w:r w:rsidRPr="007929E6">
                  <w:rPr>
                    <w:noProof/>
                    <w:webHidden/>
                  </w:rPr>
                  <w:fldChar w:fldCharType="begin"/>
                </w:r>
                <w:r w:rsidRPr="007929E6">
                  <w:rPr>
                    <w:noProof/>
                    <w:webHidden/>
                  </w:rPr>
                  <w:instrText xml:space="preserve"> PAGEREF _Toc156846051 \h </w:instrText>
                </w:r>
                <w:r w:rsidRPr="007929E6">
                  <w:rPr>
                    <w:noProof/>
                    <w:webHidden/>
                  </w:rPr>
                </w:r>
                <w:r w:rsidRPr="007929E6">
                  <w:rPr>
                    <w:noProof/>
                    <w:webHidden/>
                  </w:rPr>
                  <w:fldChar w:fldCharType="separate"/>
                </w:r>
                <w:r w:rsidRPr="007929E6">
                  <w:rPr>
                    <w:noProof/>
                    <w:webHidden/>
                  </w:rPr>
                  <w:t>82</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2" w:history="1">
                <w:r w:rsidRPr="007929E6">
                  <w:rPr>
                    <w:rStyle w:val="Hyperlink"/>
                    <w:rFonts w:ascii="Times New Roman" w:hAnsi="Times New Roman" w:cs="Times New Roman"/>
                    <w:noProof/>
                  </w:rPr>
                  <w:t>Adherence to Sustainable Development Goals (SDGs)</w:t>
                </w:r>
                <w:r w:rsidRPr="007929E6">
                  <w:rPr>
                    <w:noProof/>
                    <w:webHidden/>
                  </w:rPr>
                  <w:tab/>
                </w:r>
                <w:r w:rsidRPr="007929E6">
                  <w:rPr>
                    <w:noProof/>
                    <w:webHidden/>
                  </w:rPr>
                  <w:fldChar w:fldCharType="begin"/>
                </w:r>
                <w:r w:rsidRPr="007929E6">
                  <w:rPr>
                    <w:noProof/>
                    <w:webHidden/>
                  </w:rPr>
                  <w:instrText xml:space="preserve"> PAGEREF _Toc156846052 \h </w:instrText>
                </w:r>
                <w:r w:rsidRPr="007929E6">
                  <w:rPr>
                    <w:noProof/>
                    <w:webHidden/>
                  </w:rPr>
                </w:r>
                <w:r w:rsidRPr="007929E6">
                  <w:rPr>
                    <w:noProof/>
                    <w:webHidden/>
                  </w:rPr>
                  <w:fldChar w:fldCharType="separate"/>
                </w:r>
                <w:r w:rsidRPr="007929E6">
                  <w:rPr>
                    <w:noProof/>
                    <w:webHidden/>
                  </w:rPr>
                  <w:t>82</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3" w:history="1">
                <w:r w:rsidRPr="007929E6">
                  <w:rPr>
                    <w:rStyle w:val="Hyperlink"/>
                    <w:rFonts w:ascii="Times New Roman" w:hAnsi="Times New Roman" w:cs="Times New Roman"/>
                    <w:noProof/>
                  </w:rPr>
                  <w:t>SDGs as Guiding Principles</w:t>
                </w:r>
                <w:r w:rsidRPr="007929E6">
                  <w:rPr>
                    <w:noProof/>
                    <w:webHidden/>
                  </w:rPr>
                  <w:tab/>
                </w:r>
                <w:r w:rsidRPr="007929E6">
                  <w:rPr>
                    <w:noProof/>
                    <w:webHidden/>
                  </w:rPr>
                  <w:fldChar w:fldCharType="begin"/>
                </w:r>
                <w:r w:rsidRPr="007929E6">
                  <w:rPr>
                    <w:noProof/>
                    <w:webHidden/>
                  </w:rPr>
                  <w:instrText xml:space="preserve"> PAGEREF _Toc156846053 \h </w:instrText>
                </w:r>
                <w:r w:rsidRPr="007929E6">
                  <w:rPr>
                    <w:noProof/>
                    <w:webHidden/>
                  </w:rPr>
                </w:r>
                <w:r w:rsidRPr="007929E6">
                  <w:rPr>
                    <w:noProof/>
                    <w:webHidden/>
                  </w:rPr>
                  <w:fldChar w:fldCharType="separate"/>
                </w:r>
                <w:r w:rsidRPr="007929E6">
                  <w:rPr>
                    <w:noProof/>
                    <w:webHidden/>
                  </w:rPr>
                  <w:t>82</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4" w:history="1">
                <w:r w:rsidRPr="007929E6">
                  <w:rPr>
                    <w:rStyle w:val="Hyperlink"/>
                    <w:rFonts w:ascii="Times New Roman" w:hAnsi="Times New Roman" w:cs="Times New Roman"/>
                    <w:noProof/>
                  </w:rPr>
                  <w:t>Global Impact of Corporate Actions</w:t>
                </w:r>
                <w:r w:rsidRPr="007929E6">
                  <w:rPr>
                    <w:noProof/>
                    <w:webHidden/>
                  </w:rPr>
                  <w:tab/>
                </w:r>
                <w:r w:rsidRPr="007929E6">
                  <w:rPr>
                    <w:noProof/>
                    <w:webHidden/>
                  </w:rPr>
                  <w:fldChar w:fldCharType="begin"/>
                </w:r>
                <w:r w:rsidRPr="007929E6">
                  <w:rPr>
                    <w:noProof/>
                    <w:webHidden/>
                  </w:rPr>
                  <w:instrText xml:space="preserve"> PAGEREF _Toc156846054 \h </w:instrText>
                </w:r>
                <w:r w:rsidRPr="007929E6">
                  <w:rPr>
                    <w:noProof/>
                    <w:webHidden/>
                  </w:rPr>
                </w:r>
                <w:r w:rsidRPr="007929E6">
                  <w:rPr>
                    <w:noProof/>
                    <w:webHidden/>
                  </w:rPr>
                  <w:fldChar w:fldCharType="separate"/>
                </w:r>
                <w:r w:rsidRPr="007929E6">
                  <w:rPr>
                    <w:noProof/>
                    <w:webHidden/>
                  </w:rPr>
                  <w:t>82</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5" w:history="1">
                <w:r w:rsidRPr="007929E6">
                  <w:rPr>
                    <w:rStyle w:val="Hyperlink"/>
                    <w:rFonts w:ascii="Times New Roman" w:hAnsi="Times New Roman" w:cs="Times New Roman"/>
                    <w:noProof/>
                  </w:rPr>
                  <w:t>Integration of ESG into Business Strategies</w:t>
                </w:r>
                <w:r w:rsidRPr="007929E6">
                  <w:rPr>
                    <w:noProof/>
                    <w:webHidden/>
                  </w:rPr>
                  <w:tab/>
                </w:r>
                <w:r w:rsidRPr="007929E6">
                  <w:rPr>
                    <w:noProof/>
                    <w:webHidden/>
                  </w:rPr>
                  <w:fldChar w:fldCharType="begin"/>
                </w:r>
                <w:r w:rsidRPr="007929E6">
                  <w:rPr>
                    <w:noProof/>
                    <w:webHidden/>
                  </w:rPr>
                  <w:instrText xml:space="preserve"> PAGEREF _Toc156846055 \h </w:instrText>
                </w:r>
                <w:r w:rsidRPr="007929E6">
                  <w:rPr>
                    <w:noProof/>
                    <w:webHidden/>
                  </w:rPr>
                </w:r>
                <w:r w:rsidRPr="007929E6">
                  <w:rPr>
                    <w:noProof/>
                    <w:webHidden/>
                  </w:rPr>
                  <w:fldChar w:fldCharType="separate"/>
                </w:r>
                <w:r w:rsidRPr="007929E6">
                  <w:rPr>
                    <w:noProof/>
                    <w:webHidden/>
                  </w:rPr>
                  <w:t>83</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6" w:history="1">
                <w:r w:rsidRPr="007929E6">
                  <w:rPr>
                    <w:rStyle w:val="Hyperlink"/>
                    <w:rFonts w:ascii="Times New Roman" w:hAnsi="Times New Roman" w:cs="Times New Roman"/>
                    <w:noProof/>
                  </w:rPr>
                  <w:t>Strategic Imperatives for Macro Corporations</w:t>
                </w:r>
                <w:r w:rsidRPr="007929E6">
                  <w:rPr>
                    <w:noProof/>
                    <w:webHidden/>
                  </w:rPr>
                  <w:tab/>
                </w:r>
                <w:r w:rsidRPr="007929E6">
                  <w:rPr>
                    <w:noProof/>
                    <w:webHidden/>
                  </w:rPr>
                  <w:fldChar w:fldCharType="begin"/>
                </w:r>
                <w:r w:rsidRPr="007929E6">
                  <w:rPr>
                    <w:noProof/>
                    <w:webHidden/>
                  </w:rPr>
                  <w:instrText xml:space="preserve"> PAGEREF _Toc156846056 \h </w:instrText>
                </w:r>
                <w:r w:rsidRPr="007929E6">
                  <w:rPr>
                    <w:noProof/>
                    <w:webHidden/>
                  </w:rPr>
                </w:r>
                <w:r w:rsidRPr="007929E6">
                  <w:rPr>
                    <w:noProof/>
                    <w:webHidden/>
                  </w:rPr>
                  <w:fldChar w:fldCharType="separate"/>
                </w:r>
                <w:r w:rsidRPr="007929E6">
                  <w:rPr>
                    <w:noProof/>
                    <w:webHidden/>
                  </w:rPr>
                  <w:t>83</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7" w:history="1">
                <w:r w:rsidRPr="007929E6">
                  <w:rPr>
                    <w:rStyle w:val="Hyperlink"/>
                    <w:rFonts w:ascii="Times New Roman" w:hAnsi="Times New Roman" w:cs="Times New Roman"/>
                    <w:noProof/>
                  </w:rPr>
                  <w:t>Tools for Micro and Medium-sized Businesses</w:t>
                </w:r>
                <w:r w:rsidRPr="007929E6">
                  <w:rPr>
                    <w:noProof/>
                    <w:webHidden/>
                  </w:rPr>
                  <w:tab/>
                </w:r>
                <w:r w:rsidRPr="007929E6">
                  <w:rPr>
                    <w:noProof/>
                    <w:webHidden/>
                  </w:rPr>
                  <w:fldChar w:fldCharType="begin"/>
                </w:r>
                <w:r w:rsidRPr="007929E6">
                  <w:rPr>
                    <w:noProof/>
                    <w:webHidden/>
                  </w:rPr>
                  <w:instrText xml:space="preserve"> PAGEREF _Toc156846057 \h </w:instrText>
                </w:r>
                <w:r w:rsidRPr="007929E6">
                  <w:rPr>
                    <w:noProof/>
                    <w:webHidden/>
                  </w:rPr>
                </w:r>
                <w:r w:rsidRPr="007929E6">
                  <w:rPr>
                    <w:noProof/>
                    <w:webHidden/>
                  </w:rPr>
                  <w:fldChar w:fldCharType="separate"/>
                </w:r>
                <w:r w:rsidRPr="007929E6">
                  <w:rPr>
                    <w:noProof/>
                    <w:webHidden/>
                  </w:rPr>
                  <w:t>83</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8" w:history="1">
                <w:r w:rsidRPr="007929E6">
                  <w:rPr>
                    <w:rStyle w:val="Hyperlink"/>
                    <w:rFonts w:ascii="Times New Roman" w:hAnsi="Times New Roman" w:cs="Times New Roman"/>
                    <w:noProof/>
                  </w:rPr>
                  <w:t>ESG Herding and Investor Behavior</w:t>
                </w:r>
                <w:r w:rsidRPr="007929E6">
                  <w:rPr>
                    <w:noProof/>
                    <w:webHidden/>
                  </w:rPr>
                  <w:tab/>
                </w:r>
                <w:r w:rsidRPr="007929E6">
                  <w:rPr>
                    <w:noProof/>
                    <w:webHidden/>
                  </w:rPr>
                  <w:fldChar w:fldCharType="begin"/>
                </w:r>
                <w:r w:rsidRPr="007929E6">
                  <w:rPr>
                    <w:noProof/>
                    <w:webHidden/>
                  </w:rPr>
                  <w:instrText xml:space="preserve"> PAGEREF _Toc156846058 \h </w:instrText>
                </w:r>
                <w:r w:rsidRPr="007929E6">
                  <w:rPr>
                    <w:noProof/>
                    <w:webHidden/>
                  </w:rPr>
                </w:r>
                <w:r w:rsidRPr="007929E6">
                  <w:rPr>
                    <w:noProof/>
                    <w:webHidden/>
                  </w:rPr>
                  <w:fldChar w:fldCharType="separate"/>
                </w:r>
                <w:r w:rsidRPr="007929E6">
                  <w:rPr>
                    <w:noProof/>
                    <w:webHidden/>
                  </w:rPr>
                  <w:t>84</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59" w:history="1">
                <w:r w:rsidRPr="007929E6">
                  <w:rPr>
                    <w:rStyle w:val="Hyperlink"/>
                    <w:rFonts w:ascii="Times New Roman" w:hAnsi="Times New Roman" w:cs="Times New Roman"/>
                    <w:noProof/>
                  </w:rPr>
                  <w:t>Implications for Decision-Making and Portfolio Management</w:t>
                </w:r>
                <w:r w:rsidRPr="007929E6">
                  <w:rPr>
                    <w:noProof/>
                    <w:webHidden/>
                  </w:rPr>
                  <w:tab/>
                </w:r>
                <w:r w:rsidRPr="007929E6">
                  <w:rPr>
                    <w:noProof/>
                    <w:webHidden/>
                  </w:rPr>
                  <w:fldChar w:fldCharType="begin"/>
                </w:r>
                <w:r w:rsidRPr="007929E6">
                  <w:rPr>
                    <w:noProof/>
                    <w:webHidden/>
                  </w:rPr>
                  <w:instrText xml:space="preserve"> PAGEREF _Toc156846059 \h </w:instrText>
                </w:r>
                <w:r w:rsidRPr="007929E6">
                  <w:rPr>
                    <w:noProof/>
                    <w:webHidden/>
                  </w:rPr>
                </w:r>
                <w:r w:rsidRPr="007929E6">
                  <w:rPr>
                    <w:noProof/>
                    <w:webHidden/>
                  </w:rPr>
                  <w:fldChar w:fldCharType="separate"/>
                </w:r>
                <w:r w:rsidRPr="007929E6">
                  <w:rPr>
                    <w:noProof/>
                    <w:webHidden/>
                  </w:rPr>
                  <w:t>84</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60" w:history="1">
                <w:r w:rsidRPr="007929E6">
                  <w:rPr>
                    <w:rStyle w:val="Hyperlink"/>
                    <w:rFonts w:ascii="Times New Roman" w:hAnsi="Times New Roman" w:cs="Times New Roman"/>
                    <w:noProof/>
                  </w:rPr>
                  <w:t>SWOT Analysis</w:t>
                </w:r>
                <w:r w:rsidRPr="007929E6">
                  <w:rPr>
                    <w:noProof/>
                    <w:webHidden/>
                  </w:rPr>
                  <w:tab/>
                </w:r>
                <w:r w:rsidRPr="007929E6">
                  <w:rPr>
                    <w:noProof/>
                    <w:webHidden/>
                  </w:rPr>
                  <w:fldChar w:fldCharType="begin"/>
                </w:r>
                <w:r w:rsidRPr="007929E6">
                  <w:rPr>
                    <w:noProof/>
                    <w:webHidden/>
                  </w:rPr>
                  <w:instrText xml:space="preserve"> PAGEREF _Toc156846060 \h </w:instrText>
                </w:r>
                <w:r w:rsidRPr="007929E6">
                  <w:rPr>
                    <w:noProof/>
                    <w:webHidden/>
                  </w:rPr>
                </w:r>
                <w:r w:rsidRPr="007929E6">
                  <w:rPr>
                    <w:noProof/>
                    <w:webHidden/>
                  </w:rPr>
                  <w:fldChar w:fldCharType="separate"/>
                </w:r>
                <w:r w:rsidRPr="007929E6">
                  <w:rPr>
                    <w:noProof/>
                    <w:webHidden/>
                  </w:rPr>
                  <w:t>84</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61" w:history="1">
                <w:r w:rsidRPr="007929E6">
                  <w:rPr>
                    <w:rStyle w:val="Hyperlink"/>
                    <w:rFonts w:ascii="Times New Roman" w:hAnsi="Times New Roman" w:cs="Times New Roman"/>
                    <w:noProof/>
                  </w:rPr>
                  <w:t>Recommendations</w:t>
                </w:r>
                <w:r w:rsidRPr="007929E6">
                  <w:rPr>
                    <w:noProof/>
                    <w:webHidden/>
                  </w:rPr>
                  <w:tab/>
                </w:r>
                <w:r w:rsidRPr="007929E6">
                  <w:rPr>
                    <w:noProof/>
                    <w:webHidden/>
                  </w:rPr>
                  <w:fldChar w:fldCharType="begin"/>
                </w:r>
                <w:r w:rsidRPr="007929E6">
                  <w:rPr>
                    <w:noProof/>
                    <w:webHidden/>
                  </w:rPr>
                  <w:instrText xml:space="preserve"> PAGEREF _Toc156846061 \h </w:instrText>
                </w:r>
                <w:r w:rsidRPr="007929E6">
                  <w:rPr>
                    <w:noProof/>
                    <w:webHidden/>
                  </w:rPr>
                </w:r>
                <w:r w:rsidRPr="007929E6">
                  <w:rPr>
                    <w:noProof/>
                    <w:webHidden/>
                  </w:rPr>
                  <w:fldChar w:fldCharType="separate"/>
                </w:r>
                <w:r w:rsidRPr="007929E6">
                  <w:rPr>
                    <w:noProof/>
                    <w:webHidden/>
                  </w:rPr>
                  <w:t>85</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62" w:history="1">
                <w:r w:rsidRPr="007929E6">
                  <w:rPr>
                    <w:rStyle w:val="Hyperlink"/>
                    <w:rFonts w:ascii="Times New Roman" w:hAnsi="Times New Roman" w:cs="Times New Roman"/>
                    <w:noProof/>
                  </w:rPr>
                  <w:t>Remedial Actions for Identified Problems</w:t>
                </w:r>
                <w:r w:rsidRPr="007929E6">
                  <w:rPr>
                    <w:noProof/>
                    <w:webHidden/>
                  </w:rPr>
                  <w:tab/>
                </w:r>
                <w:r w:rsidRPr="007929E6">
                  <w:rPr>
                    <w:noProof/>
                    <w:webHidden/>
                  </w:rPr>
                  <w:fldChar w:fldCharType="begin"/>
                </w:r>
                <w:r w:rsidRPr="007929E6">
                  <w:rPr>
                    <w:noProof/>
                    <w:webHidden/>
                  </w:rPr>
                  <w:instrText xml:space="preserve"> PAGEREF _Toc156846062 \h </w:instrText>
                </w:r>
                <w:r w:rsidRPr="007929E6">
                  <w:rPr>
                    <w:noProof/>
                    <w:webHidden/>
                  </w:rPr>
                </w:r>
                <w:r w:rsidRPr="007929E6">
                  <w:rPr>
                    <w:noProof/>
                    <w:webHidden/>
                  </w:rPr>
                  <w:fldChar w:fldCharType="separate"/>
                </w:r>
                <w:r w:rsidRPr="007929E6">
                  <w:rPr>
                    <w:noProof/>
                    <w:webHidden/>
                  </w:rPr>
                  <w:t>85</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63" w:history="1">
                <w:r w:rsidRPr="007929E6">
                  <w:rPr>
                    <w:rStyle w:val="Hyperlink"/>
                    <w:rFonts w:ascii="Times New Roman" w:hAnsi="Times New Roman" w:cs="Times New Roman"/>
                    <w:noProof/>
                  </w:rPr>
                  <w:t>Gap Analysis and Policy Enhancement</w:t>
                </w:r>
                <w:r w:rsidRPr="007929E6">
                  <w:rPr>
                    <w:noProof/>
                    <w:webHidden/>
                  </w:rPr>
                  <w:tab/>
                </w:r>
                <w:r w:rsidRPr="007929E6">
                  <w:rPr>
                    <w:noProof/>
                    <w:webHidden/>
                  </w:rPr>
                  <w:fldChar w:fldCharType="begin"/>
                </w:r>
                <w:r w:rsidRPr="007929E6">
                  <w:rPr>
                    <w:noProof/>
                    <w:webHidden/>
                  </w:rPr>
                  <w:instrText xml:space="preserve"> PAGEREF _Toc156846063 \h </w:instrText>
                </w:r>
                <w:r w:rsidRPr="007929E6">
                  <w:rPr>
                    <w:noProof/>
                    <w:webHidden/>
                  </w:rPr>
                </w:r>
                <w:r w:rsidRPr="007929E6">
                  <w:rPr>
                    <w:noProof/>
                    <w:webHidden/>
                  </w:rPr>
                  <w:fldChar w:fldCharType="separate"/>
                </w:r>
                <w:r w:rsidRPr="007929E6">
                  <w:rPr>
                    <w:noProof/>
                    <w:webHidden/>
                  </w:rPr>
                  <w:t>86</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64" w:history="1">
                <w:r w:rsidRPr="007929E6">
                  <w:rPr>
                    <w:rStyle w:val="Hyperlink"/>
                    <w:rFonts w:ascii="Times New Roman" w:hAnsi="Times New Roman" w:cs="Times New Roman"/>
                    <w:noProof/>
                  </w:rPr>
                  <w:t>Operational Resilience Framework</w:t>
                </w:r>
                <w:r w:rsidRPr="007929E6">
                  <w:rPr>
                    <w:noProof/>
                    <w:webHidden/>
                  </w:rPr>
                  <w:tab/>
                </w:r>
                <w:r w:rsidRPr="007929E6">
                  <w:rPr>
                    <w:noProof/>
                    <w:webHidden/>
                  </w:rPr>
                  <w:fldChar w:fldCharType="begin"/>
                </w:r>
                <w:r w:rsidRPr="007929E6">
                  <w:rPr>
                    <w:noProof/>
                    <w:webHidden/>
                  </w:rPr>
                  <w:instrText xml:space="preserve"> PAGEREF _Toc156846064 \h </w:instrText>
                </w:r>
                <w:r w:rsidRPr="007929E6">
                  <w:rPr>
                    <w:noProof/>
                    <w:webHidden/>
                  </w:rPr>
                </w:r>
                <w:r w:rsidRPr="007929E6">
                  <w:rPr>
                    <w:noProof/>
                    <w:webHidden/>
                  </w:rPr>
                  <w:fldChar w:fldCharType="separate"/>
                </w:r>
                <w:r w:rsidRPr="007929E6">
                  <w:rPr>
                    <w:noProof/>
                    <w:webHidden/>
                  </w:rPr>
                  <w:t>86</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65" w:history="1">
                <w:r w:rsidRPr="007929E6">
                  <w:rPr>
                    <w:rStyle w:val="Hyperlink"/>
                    <w:rFonts w:ascii="Times New Roman" w:hAnsi="Times New Roman" w:cs="Times New Roman"/>
                    <w:noProof/>
                  </w:rPr>
                  <w:t>Climate Risk Identification and Integration</w:t>
                </w:r>
                <w:r w:rsidRPr="007929E6">
                  <w:rPr>
                    <w:noProof/>
                    <w:webHidden/>
                  </w:rPr>
                  <w:tab/>
                </w:r>
                <w:r w:rsidRPr="007929E6">
                  <w:rPr>
                    <w:noProof/>
                    <w:webHidden/>
                  </w:rPr>
                  <w:fldChar w:fldCharType="begin"/>
                </w:r>
                <w:r w:rsidRPr="007929E6">
                  <w:rPr>
                    <w:noProof/>
                    <w:webHidden/>
                  </w:rPr>
                  <w:instrText xml:space="preserve"> PAGEREF _Toc156846065 \h </w:instrText>
                </w:r>
                <w:r w:rsidRPr="007929E6">
                  <w:rPr>
                    <w:noProof/>
                    <w:webHidden/>
                  </w:rPr>
                </w:r>
                <w:r w:rsidRPr="007929E6">
                  <w:rPr>
                    <w:noProof/>
                    <w:webHidden/>
                  </w:rPr>
                  <w:fldChar w:fldCharType="separate"/>
                </w:r>
                <w:r w:rsidRPr="007929E6">
                  <w:rPr>
                    <w:noProof/>
                    <w:webHidden/>
                  </w:rPr>
                  <w:t>86</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66" w:history="1">
                <w:r w:rsidRPr="007929E6">
                  <w:rPr>
                    <w:rStyle w:val="Hyperlink"/>
                    <w:rFonts w:ascii="Times New Roman" w:hAnsi="Times New Roman" w:cs="Times New Roman"/>
                    <w:noProof/>
                  </w:rPr>
                  <w:t>Training Programs for Staff</w:t>
                </w:r>
                <w:r w:rsidRPr="007929E6">
                  <w:rPr>
                    <w:noProof/>
                    <w:webHidden/>
                  </w:rPr>
                  <w:tab/>
                </w:r>
                <w:r w:rsidRPr="007929E6">
                  <w:rPr>
                    <w:noProof/>
                    <w:webHidden/>
                  </w:rPr>
                  <w:fldChar w:fldCharType="begin"/>
                </w:r>
                <w:r w:rsidRPr="007929E6">
                  <w:rPr>
                    <w:noProof/>
                    <w:webHidden/>
                  </w:rPr>
                  <w:instrText xml:space="preserve"> PAGEREF _Toc156846066 \h </w:instrText>
                </w:r>
                <w:r w:rsidRPr="007929E6">
                  <w:rPr>
                    <w:noProof/>
                    <w:webHidden/>
                  </w:rPr>
                </w:r>
                <w:r w:rsidRPr="007929E6">
                  <w:rPr>
                    <w:noProof/>
                    <w:webHidden/>
                  </w:rPr>
                  <w:fldChar w:fldCharType="separate"/>
                </w:r>
                <w:r w:rsidRPr="007929E6">
                  <w:rPr>
                    <w:noProof/>
                    <w:webHidden/>
                  </w:rPr>
                  <w:t>87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67" w:history="1">
                <w:r w:rsidRPr="007929E6">
                  <w:rPr>
                    <w:rStyle w:val="Hyperlink"/>
                    <w:rFonts w:ascii="Times New Roman" w:hAnsi="Times New Roman" w:cs="Times New Roman"/>
                    <w:noProof/>
                  </w:rPr>
                  <w:t>Further Research Areas</w:t>
                </w:r>
                <w:r w:rsidRPr="007929E6">
                  <w:rPr>
                    <w:noProof/>
                    <w:webHidden/>
                  </w:rPr>
                  <w:tab/>
                </w:r>
                <w:r w:rsidRPr="007929E6">
                  <w:rPr>
                    <w:noProof/>
                    <w:webHidden/>
                  </w:rPr>
                  <w:fldChar w:fldCharType="begin"/>
                </w:r>
                <w:r w:rsidRPr="007929E6">
                  <w:rPr>
                    <w:noProof/>
                    <w:webHidden/>
                  </w:rPr>
                  <w:instrText xml:space="preserve"> PAGEREF _Toc156846067 \h </w:instrText>
                </w:r>
                <w:r w:rsidRPr="007929E6">
                  <w:rPr>
                    <w:noProof/>
                    <w:webHidden/>
                  </w:rPr>
                </w:r>
                <w:r w:rsidRPr="007929E6">
                  <w:rPr>
                    <w:noProof/>
                    <w:webHidden/>
                  </w:rPr>
                  <w:fldChar w:fldCharType="separate"/>
                </w:r>
                <w:r w:rsidRPr="007929E6">
                  <w:rPr>
                    <w:noProof/>
                    <w:webHidden/>
                  </w:rPr>
                  <w:t>87</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68" w:history="1">
                <w:r w:rsidRPr="007929E6">
                  <w:rPr>
                    <w:rStyle w:val="Hyperlink"/>
                    <w:rFonts w:ascii="Times New Roman" w:hAnsi="Times New Roman" w:cs="Times New Roman"/>
                    <w:noProof/>
                  </w:rPr>
                  <w:t>Exploring Additional Financial Indicators</w:t>
                </w:r>
                <w:r w:rsidRPr="007929E6">
                  <w:rPr>
                    <w:noProof/>
                    <w:webHidden/>
                  </w:rPr>
                  <w:tab/>
                </w:r>
                <w:r w:rsidRPr="007929E6">
                  <w:rPr>
                    <w:noProof/>
                    <w:webHidden/>
                  </w:rPr>
                  <w:fldChar w:fldCharType="begin"/>
                </w:r>
                <w:r w:rsidRPr="007929E6">
                  <w:rPr>
                    <w:noProof/>
                    <w:webHidden/>
                  </w:rPr>
                  <w:instrText xml:space="preserve"> PAGEREF _Toc156846068 \h </w:instrText>
                </w:r>
                <w:r w:rsidRPr="007929E6">
                  <w:rPr>
                    <w:noProof/>
                    <w:webHidden/>
                  </w:rPr>
                </w:r>
                <w:r w:rsidRPr="007929E6">
                  <w:rPr>
                    <w:noProof/>
                    <w:webHidden/>
                  </w:rPr>
                  <w:fldChar w:fldCharType="separate"/>
                </w:r>
                <w:r w:rsidRPr="007929E6">
                  <w:rPr>
                    <w:noProof/>
                    <w:webHidden/>
                  </w:rPr>
                  <w:t>88</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69" w:history="1">
                <w:r w:rsidRPr="007929E6">
                  <w:rPr>
                    <w:rStyle w:val="Hyperlink"/>
                    <w:rFonts w:ascii="Times New Roman" w:hAnsi="Times New Roman" w:cs="Times New Roman"/>
                    <w:noProof/>
                  </w:rPr>
                  <w:t>Dynamic Herding Analysis</w:t>
                </w:r>
                <w:r w:rsidRPr="007929E6">
                  <w:rPr>
                    <w:noProof/>
                    <w:webHidden/>
                  </w:rPr>
                  <w:tab/>
                </w:r>
                <w:r w:rsidRPr="007929E6">
                  <w:rPr>
                    <w:noProof/>
                    <w:webHidden/>
                  </w:rPr>
                  <w:fldChar w:fldCharType="begin"/>
                </w:r>
                <w:r w:rsidRPr="007929E6">
                  <w:rPr>
                    <w:noProof/>
                    <w:webHidden/>
                  </w:rPr>
                  <w:instrText xml:space="preserve"> PAGEREF _Toc156846069 \h </w:instrText>
                </w:r>
                <w:r w:rsidRPr="007929E6">
                  <w:rPr>
                    <w:noProof/>
                    <w:webHidden/>
                  </w:rPr>
                </w:r>
                <w:r w:rsidRPr="007929E6">
                  <w:rPr>
                    <w:noProof/>
                    <w:webHidden/>
                  </w:rPr>
                  <w:fldChar w:fldCharType="separate"/>
                </w:r>
                <w:r w:rsidRPr="007929E6">
                  <w:rPr>
                    <w:noProof/>
                    <w:webHidden/>
                  </w:rPr>
                  <w:t>88</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70" w:history="1">
                <w:r w:rsidRPr="007929E6">
                  <w:rPr>
                    <w:rStyle w:val="Hyperlink"/>
                    <w:rFonts w:ascii="Times New Roman" w:hAnsi="Times New Roman" w:cs="Times New Roman"/>
                    <w:noProof/>
                  </w:rPr>
                  <w:t>Cross-Continental Research</w:t>
                </w:r>
                <w:r w:rsidRPr="007929E6">
                  <w:rPr>
                    <w:noProof/>
                    <w:webHidden/>
                  </w:rPr>
                  <w:tab/>
                </w:r>
                <w:r w:rsidRPr="007929E6">
                  <w:rPr>
                    <w:noProof/>
                    <w:webHidden/>
                  </w:rPr>
                  <w:fldChar w:fldCharType="begin"/>
                </w:r>
                <w:r w:rsidRPr="007929E6">
                  <w:rPr>
                    <w:noProof/>
                    <w:webHidden/>
                  </w:rPr>
                  <w:instrText xml:space="preserve"> PAGEREF _Toc156846070 \h </w:instrText>
                </w:r>
                <w:r w:rsidRPr="007929E6">
                  <w:rPr>
                    <w:noProof/>
                    <w:webHidden/>
                  </w:rPr>
                </w:r>
                <w:r w:rsidRPr="007929E6">
                  <w:rPr>
                    <w:noProof/>
                    <w:webHidden/>
                  </w:rPr>
                  <w:fldChar w:fldCharType="separate"/>
                </w:r>
                <w:r w:rsidRPr="007929E6">
                  <w:rPr>
                    <w:noProof/>
                    <w:webHidden/>
                  </w:rPr>
                  <w:t>88</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71" w:history="1">
                <w:r w:rsidRPr="007929E6">
                  <w:rPr>
                    <w:rStyle w:val="Hyperlink"/>
                    <w:rFonts w:ascii="Times New Roman" w:hAnsi="Times New Roman" w:cs="Times New Roman"/>
                    <w:noProof/>
                  </w:rPr>
                  <w:t>Further Investigation Direction</w:t>
                </w:r>
                <w:r w:rsidRPr="007929E6">
                  <w:rPr>
                    <w:noProof/>
                    <w:webHidden/>
                  </w:rPr>
                  <w:tab/>
                </w:r>
                <w:r w:rsidRPr="007929E6">
                  <w:rPr>
                    <w:noProof/>
                    <w:webHidden/>
                  </w:rPr>
                  <w:fldChar w:fldCharType="begin"/>
                </w:r>
                <w:r w:rsidRPr="007929E6">
                  <w:rPr>
                    <w:noProof/>
                    <w:webHidden/>
                  </w:rPr>
                  <w:instrText xml:space="preserve"> PAGEREF _Toc156846071 \h </w:instrText>
                </w:r>
                <w:r w:rsidRPr="007929E6">
                  <w:rPr>
                    <w:noProof/>
                    <w:webHidden/>
                  </w:rPr>
                </w:r>
                <w:r w:rsidRPr="007929E6">
                  <w:rPr>
                    <w:noProof/>
                    <w:webHidden/>
                  </w:rPr>
                  <w:fldChar w:fldCharType="separate"/>
                </w:r>
                <w:r w:rsidRPr="007929E6">
                  <w:rPr>
                    <w:noProof/>
                    <w:webHidden/>
                  </w:rPr>
                  <w:t>88</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72" w:history="1">
                <w:r w:rsidRPr="007929E6">
                  <w:rPr>
                    <w:rStyle w:val="Hyperlink"/>
                    <w:rFonts w:ascii="Times New Roman" w:hAnsi="Times New Roman" w:cs="Times New Roman"/>
                    <w:noProof/>
                  </w:rPr>
                  <w:t>Longitudinal Studies</w:t>
                </w:r>
                <w:r w:rsidRPr="007929E6">
                  <w:rPr>
                    <w:noProof/>
                    <w:webHidden/>
                  </w:rPr>
                  <w:tab/>
                </w:r>
                <w:r w:rsidRPr="007929E6">
                  <w:rPr>
                    <w:noProof/>
                    <w:webHidden/>
                  </w:rPr>
                  <w:fldChar w:fldCharType="begin"/>
                </w:r>
                <w:r w:rsidRPr="007929E6">
                  <w:rPr>
                    <w:noProof/>
                    <w:webHidden/>
                  </w:rPr>
                  <w:instrText xml:space="preserve"> PAGEREF _Toc156846072 \h </w:instrText>
                </w:r>
                <w:r w:rsidRPr="007929E6">
                  <w:rPr>
                    <w:noProof/>
                    <w:webHidden/>
                  </w:rPr>
                </w:r>
                <w:r w:rsidRPr="007929E6">
                  <w:rPr>
                    <w:noProof/>
                    <w:webHidden/>
                  </w:rPr>
                  <w:fldChar w:fldCharType="separate"/>
                </w:r>
                <w:r w:rsidRPr="007929E6">
                  <w:rPr>
                    <w:noProof/>
                    <w:webHidden/>
                  </w:rPr>
                  <w:t>88</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73" w:history="1">
                <w:r w:rsidRPr="007929E6">
                  <w:rPr>
                    <w:rStyle w:val="Hyperlink"/>
                    <w:rFonts w:ascii="Times New Roman" w:hAnsi="Times New Roman" w:cs="Times New Roman"/>
                    <w:noProof/>
                  </w:rPr>
                  <w:t>Behavioral Analysis of ESG Investors</w:t>
                </w:r>
                <w:r w:rsidRPr="007929E6">
                  <w:rPr>
                    <w:noProof/>
                    <w:webHidden/>
                  </w:rPr>
                  <w:tab/>
                </w:r>
                <w:r w:rsidRPr="007929E6">
                  <w:rPr>
                    <w:noProof/>
                    <w:webHidden/>
                  </w:rPr>
                  <w:fldChar w:fldCharType="begin"/>
                </w:r>
                <w:r w:rsidRPr="007929E6">
                  <w:rPr>
                    <w:noProof/>
                    <w:webHidden/>
                  </w:rPr>
                  <w:instrText xml:space="preserve"> PAGEREF _Toc156846073 \h </w:instrText>
                </w:r>
                <w:r w:rsidRPr="007929E6">
                  <w:rPr>
                    <w:noProof/>
                    <w:webHidden/>
                  </w:rPr>
                </w:r>
                <w:r w:rsidRPr="007929E6">
                  <w:rPr>
                    <w:noProof/>
                    <w:webHidden/>
                  </w:rPr>
                  <w:fldChar w:fldCharType="separate"/>
                </w:r>
                <w:r w:rsidRPr="007929E6">
                  <w:rPr>
                    <w:noProof/>
                    <w:webHidden/>
                  </w:rPr>
                  <w:t>89</w:t>
                </w:r>
                <w:r w:rsidRPr="007929E6">
                  <w:rPr>
                    <w:noProof/>
                    <w:webHidden/>
                  </w:rPr>
                  <w:fldChar w:fldCharType="end"/>
                </w:r>
              </w:hyperlink>
            </w:p>
            <w:p w:rsidR="007929E6" w:rsidRPr="007929E6" w:rsidRDefault="007929E6">
              <w:pPr>
                <w:pStyle w:val="TOC3"/>
                <w:tabs>
                  <w:tab w:val="right" w:leader="dot" w:pos="9350"/>
                </w:tabs>
                <w:rPr>
                  <w:rFonts w:eastAsiaTheme="minorEastAsia"/>
                  <w:noProof/>
                </w:rPr>
              </w:pPr>
              <w:hyperlink w:anchor="_Toc156846074" w:history="1">
                <w:r w:rsidRPr="007929E6">
                  <w:rPr>
                    <w:rStyle w:val="Hyperlink"/>
                    <w:rFonts w:ascii="Times New Roman" w:hAnsi="Times New Roman" w:cs="Times New Roman"/>
                    <w:noProof/>
                  </w:rPr>
                  <w:t>Dynamic Regulatory Impact Assessment</w:t>
                </w:r>
                <w:r w:rsidRPr="007929E6">
                  <w:rPr>
                    <w:noProof/>
                    <w:webHidden/>
                  </w:rPr>
                  <w:tab/>
                </w:r>
                <w:r w:rsidRPr="007929E6">
                  <w:rPr>
                    <w:noProof/>
                    <w:webHidden/>
                  </w:rPr>
                  <w:fldChar w:fldCharType="begin"/>
                </w:r>
                <w:r w:rsidRPr="007929E6">
                  <w:rPr>
                    <w:noProof/>
                    <w:webHidden/>
                  </w:rPr>
                  <w:instrText xml:space="preserve"> PAGEREF _Toc156846074 \h </w:instrText>
                </w:r>
                <w:r w:rsidRPr="007929E6">
                  <w:rPr>
                    <w:noProof/>
                    <w:webHidden/>
                  </w:rPr>
                </w:r>
                <w:r w:rsidRPr="007929E6">
                  <w:rPr>
                    <w:noProof/>
                    <w:webHidden/>
                  </w:rPr>
                  <w:fldChar w:fldCharType="separate"/>
                </w:r>
                <w:r w:rsidRPr="007929E6">
                  <w:rPr>
                    <w:noProof/>
                    <w:webHidden/>
                  </w:rPr>
                  <w:t>89</w:t>
                </w:r>
                <w:r w:rsidRPr="007929E6">
                  <w:rPr>
                    <w:noProof/>
                    <w:webHidden/>
                  </w:rPr>
                  <w:fldChar w:fldCharType="end"/>
                </w:r>
              </w:hyperlink>
            </w:p>
            <w:p w:rsidR="007929E6" w:rsidRPr="007929E6" w:rsidRDefault="007929E6">
              <w:pPr>
                <w:pStyle w:val="TOC2"/>
                <w:tabs>
                  <w:tab w:val="right" w:leader="dot" w:pos="9350"/>
                </w:tabs>
                <w:rPr>
                  <w:rFonts w:eastAsiaTheme="minorEastAsia"/>
                  <w:noProof/>
                </w:rPr>
              </w:pPr>
              <w:hyperlink w:anchor="_Toc156846075" w:history="1">
                <w:r w:rsidRPr="007929E6">
                  <w:rPr>
                    <w:rStyle w:val="Hyperlink"/>
                    <w:rFonts w:ascii="Times New Roman" w:hAnsi="Times New Roman" w:cs="Times New Roman"/>
                    <w:noProof/>
                  </w:rPr>
                  <w:t>Implementation of Recommendations: Operationalizing Sustainability Excellence</w:t>
                </w:r>
                <w:r w:rsidRPr="007929E6">
                  <w:rPr>
                    <w:noProof/>
                    <w:webHidden/>
                  </w:rPr>
                  <w:tab/>
                </w:r>
                <w:r w:rsidRPr="007929E6">
                  <w:rPr>
                    <w:noProof/>
                    <w:webHidden/>
                  </w:rPr>
                  <w:fldChar w:fldCharType="begin"/>
                </w:r>
                <w:r w:rsidRPr="007929E6">
                  <w:rPr>
                    <w:noProof/>
                    <w:webHidden/>
                  </w:rPr>
                  <w:instrText xml:space="preserve"> PAGEREF _Toc156846075 \h </w:instrText>
                </w:r>
                <w:r w:rsidRPr="007929E6">
                  <w:rPr>
                    <w:noProof/>
                    <w:webHidden/>
                  </w:rPr>
                </w:r>
                <w:r w:rsidRPr="007929E6">
                  <w:rPr>
                    <w:noProof/>
                    <w:webHidden/>
                  </w:rPr>
                  <w:fldChar w:fldCharType="separate"/>
                </w:r>
                <w:r w:rsidRPr="007929E6">
                  <w:rPr>
                    <w:noProof/>
                    <w:webHidden/>
                  </w:rPr>
                  <w:t>89</w:t>
                </w:r>
                <w:r w:rsidRPr="007929E6">
                  <w:rPr>
                    <w:noProof/>
                    <w:webHidden/>
                  </w:rPr>
                  <w:fldChar w:fldCharType="end"/>
                </w:r>
              </w:hyperlink>
            </w:p>
            <w:p w:rsidR="007929E6" w:rsidRPr="007929E6" w:rsidRDefault="007929E6">
              <w:pPr>
                <w:pStyle w:val="TOC1"/>
                <w:rPr>
                  <w:rFonts w:asciiTheme="minorHAnsi" w:eastAsiaTheme="minorEastAsia" w:hAnsiTheme="minorHAnsi" w:cstheme="minorBidi"/>
                  <w:b w:val="0"/>
                  <w:noProof/>
                  <w:sz w:val="22"/>
                  <w:szCs w:val="22"/>
                </w:rPr>
              </w:pPr>
              <w:hyperlink w:anchor="_Toc156846076" w:history="1">
                <w:r w:rsidRPr="007929E6">
                  <w:rPr>
                    <w:rStyle w:val="Hyperlink"/>
                    <w:b w:val="0"/>
                    <w:noProof/>
                  </w:rPr>
                  <w:t>References</w:t>
                </w:r>
                <w:r w:rsidRPr="007929E6">
                  <w:rPr>
                    <w:b w:val="0"/>
                    <w:noProof/>
                    <w:webHidden/>
                  </w:rPr>
                  <w:tab/>
                </w:r>
                <w:r w:rsidRPr="007929E6">
                  <w:rPr>
                    <w:b w:val="0"/>
                    <w:noProof/>
                    <w:webHidden/>
                  </w:rPr>
                  <w:fldChar w:fldCharType="begin"/>
                </w:r>
                <w:r w:rsidRPr="007929E6">
                  <w:rPr>
                    <w:b w:val="0"/>
                    <w:noProof/>
                    <w:webHidden/>
                  </w:rPr>
                  <w:instrText xml:space="preserve"> PAGEREF _Toc156846076 \h </w:instrText>
                </w:r>
                <w:r w:rsidRPr="007929E6">
                  <w:rPr>
                    <w:b w:val="0"/>
                    <w:noProof/>
                    <w:webHidden/>
                  </w:rPr>
                </w:r>
                <w:r w:rsidRPr="007929E6">
                  <w:rPr>
                    <w:b w:val="0"/>
                    <w:noProof/>
                    <w:webHidden/>
                  </w:rPr>
                  <w:fldChar w:fldCharType="separate"/>
                </w:r>
                <w:r w:rsidRPr="007929E6">
                  <w:rPr>
                    <w:b w:val="0"/>
                    <w:noProof/>
                    <w:webHidden/>
                  </w:rPr>
                  <w:t>90</w:t>
                </w:r>
                <w:r w:rsidRPr="007929E6">
                  <w:rPr>
                    <w:b w:val="0"/>
                    <w:noProof/>
                    <w:webHidden/>
                  </w:rPr>
                  <w:fldChar w:fldCharType="end"/>
                </w:r>
              </w:hyperlink>
            </w:p>
            <w:p w:rsidR="00493216" w:rsidRPr="0006108C" w:rsidRDefault="008A16E9" w:rsidP="0006108C">
              <w:pPr>
                <w:spacing w:line="276" w:lineRule="auto"/>
                <w:jc w:val="both"/>
                <w:rPr>
                  <w:rFonts w:ascii="Times New Roman" w:hAnsi="Times New Roman" w:cs="Times New Roman"/>
                  <w:sz w:val="24"/>
                  <w:szCs w:val="24"/>
                </w:rPr>
              </w:pPr>
              <w:r w:rsidRPr="0006108C">
                <w:rPr>
                  <w:rFonts w:ascii="Times New Roman" w:hAnsi="Times New Roman" w:cs="Times New Roman"/>
                  <w:bCs/>
                  <w:noProof/>
                  <w:sz w:val="24"/>
                  <w:szCs w:val="24"/>
                </w:rPr>
                <w:fldChar w:fldCharType="end"/>
              </w:r>
            </w:p>
          </w:sdtContent>
        </w:sdt>
        <w:p w:rsidR="00493216" w:rsidRPr="0006108C" w:rsidRDefault="0024740B" w:rsidP="0006108C">
          <w:pPr>
            <w:pStyle w:val="TableofFigures"/>
            <w:tabs>
              <w:tab w:val="right" w:leader="dot" w:pos="9350"/>
            </w:tabs>
            <w:spacing w:line="276" w:lineRule="auto"/>
            <w:jc w:val="both"/>
            <w:rPr>
              <w:rFonts w:ascii="Times New Roman" w:hAnsi="Times New Roman" w:cs="Times New Roman"/>
              <w:b/>
              <w:sz w:val="24"/>
              <w:szCs w:val="24"/>
            </w:rPr>
          </w:pPr>
          <w:r w:rsidRPr="0006108C">
            <w:rPr>
              <w:rFonts w:ascii="Times New Roman" w:hAnsi="Times New Roman" w:cs="Times New Roman"/>
              <w:b/>
              <w:sz w:val="24"/>
              <w:szCs w:val="24"/>
            </w:rPr>
            <w:t xml:space="preserve">List of </w:t>
          </w:r>
          <w:r w:rsidR="00493216" w:rsidRPr="0006108C">
            <w:rPr>
              <w:rFonts w:ascii="Times New Roman" w:hAnsi="Times New Roman" w:cs="Times New Roman"/>
              <w:b/>
              <w:sz w:val="24"/>
              <w:szCs w:val="24"/>
            </w:rPr>
            <w:t>Tables</w:t>
          </w:r>
        </w:p>
        <w:p w:rsidR="00493216" w:rsidRPr="0006108C" w:rsidRDefault="00493216" w:rsidP="0006108C">
          <w:pPr>
            <w:spacing w:line="276" w:lineRule="auto"/>
            <w:jc w:val="both"/>
            <w:rPr>
              <w:rFonts w:ascii="Times New Roman" w:hAnsi="Times New Roman" w:cs="Times New Roman"/>
              <w:sz w:val="24"/>
              <w:szCs w:val="24"/>
            </w:rPr>
          </w:pPr>
        </w:p>
        <w:p w:rsidR="008927A3" w:rsidRPr="008927A3" w:rsidRDefault="00493216">
          <w:pPr>
            <w:pStyle w:val="TableofFigures"/>
            <w:tabs>
              <w:tab w:val="right" w:leader="dot" w:pos="9350"/>
            </w:tabs>
            <w:rPr>
              <w:rFonts w:ascii="Times New Roman" w:eastAsiaTheme="minorEastAsia" w:hAnsi="Times New Roman" w:cs="Times New Roman"/>
              <w:noProof/>
              <w:sz w:val="24"/>
            </w:rPr>
          </w:pPr>
          <w:r w:rsidRPr="0006108C">
            <w:rPr>
              <w:rFonts w:ascii="Times New Roman" w:hAnsi="Times New Roman" w:cs="Times New Roman"/>
              <w:sz w:val="24"/>
              <w:szCs w:val="24"/>
            </w:rPr>
            <w:fldChar w:fldCharType="begin"/>
          </w:r>
          <w:r w:rsidRPr="0006108C">
            <w:rPr>
              <w:rFonts w:ascii="Times New Roman" w:hAnsi="Times New Roman" w:cs="Times New Roman"/>
              <w:sz w:val="24"/>
              <w:szCs w:val="24"/>
            </w:rPr>
            <w:instrText xml:space="preserve"> TOC \h \z \c "Table" </w:instrText>
          </w:r>
          <w:r w:rsidRPr="0006108C">
            <w:rPr>
              <w:rFonts w:ascii="Times New Roman" w:hAnsi="Times New Roman" w:cs="Times New Roman"/>
              <w:sz w:val="24"/>
              <w:szCs w:val="24"/>
            </w:rPr>
            <w:fldChar w:fldCharType="separate"/>
          </w:r>
          <w:hyperlink w:anchor="_Toc156846129" w:history="1">
            <w:r w:rsidR="008927A3" w:rsidRPr="008927A3">
              <w:rPr>
                <w:rStyle w:val="Hyperlink"/>
                <w:rFonts w:ascii="Times New Roman" w:hAnsi="Times New Roman" w:cs="Times New Roman"/>
                <w:noProof/>
                <w:sz w:val="24"/>
              </w:rPr>
              <w:t>Table 1:</w:t>
            </w:r>
            <w:r w:rsidR="008927A3" w:rsidRPr="008927A3">
              <w:rPr>
                <w:rFonts w:ascii="Times New Roman" w:hAnsi="Times New Roman" w:cs="Times New Roman"/>
                <w:noProof/>
                <w:webHidden/>
                <w:sz w:val="24"/>
              </w:rPr>
              <w:tab/>
            </w:r>
            <w:r w:rsidR="008927A3" w:rsidRPr="008927A3">
              <w:rPr>
                <w:rFonts w:ascii="Times New Roman" w:hAnsi="Times New Roman" w:cs="Times New Roman"/>
                <w:noProof/>
                <w:webHidden/>
                <w:sz w:val="24"/>
              </w:rPr>
              <w:fldChar w:fldCharType="begin"/>
            </w:r>
            <w:r w:rsidR="008927A3" w:rsidRPr="008927A3">
              <w:rPr>
                <w:rFonts w:ascii="Times New Roman" w:hAnsi="Times New Roman" w:cs="Times New Roman"/>
                <w:noProof/>
                <w:webHidden/>
                <w:sz w:val="24"/>
              </w:rPr>
              <w:instrText xml:space="preserve"> PAGEREF _Toc156846129 \h </w:instrText>
            </w:r>
            <w:r w:rsidR="008927A3" w:rsidRPr="008927A3">
              <w:rPr>
                <w:rFonts w:ascii="Times New Roman" w:hAnsi="Times New Roman" w:cs="Times New Roman"/>
                <w:noProof/>
                <w:webHidden/>
                <w:sz w:val="24"/>
              </w:rPr>
            </w:r>
            <w:r w:rsidR="008927A3" w:rsidRPr="008927A3">
              <w:rPr>
                <w:rFonts w:ascii="Times New Roman" w:hAnsi="Times New Roman" w:cs="Times New Roman"/>
                <w:noProof/>
                <w:webHidden/>
                <w:sz w:val="24"/>
              </w:rPr>
              <w:fldChar w:fldCharType="separate"/>
            </w:r>
            <w:r w:rsidR="008927A3" w:rsidRPr="008927A3">
              <w:rPr>
                <w:rFonts w:ascii="Times New Roman" w:hAnsi="Times New Roman" w:cs="Times New Roman"/>
                <w:noProof/>
                <w:webHidden/>
                <w:sz w:val="24"/>
              </w:rPr>
              <w:t>38</w:t>
            </w:r>
            <w:r w:rsidR="008927A3" w:rsidRPr="008927A3">
              <w:rPr>
                <w:rFonts w:ascii="Times New Roman" w:hAnsi="Times New Roman" w:cs="Times New Roman"/>
                <w:noProof/>
                <w:webHidden/>
                <w:sz w:val="24"/>
              </w:rPr>
              <w:fldChar w:fldCharType="end"/>
            </w:r>
          </w:hyperlink>
        </w:p>
        <w:p w:rsidR="008927A3" w:rsidRPr="008927A3" w:rsidRDefault="008927A3">
          <w:pPr>
            <w:pStyle w:val="TableofFigures"/>
            <w:tabs>
              <w:tab w:val="right" w:leader="dot" w:pos="9350"/>
            </w:tabs>
            <w:rPr>
              <w:rFonts w:ascii="Times New Roman" w:eastAsiaTheme="minorEastAsia" w:hAnsi="Times New Roman" w:cs="Times New Roman"/>
              <w:noProof/>
              <w:sz w:val="24"/>
            </w:rPr>
          </w:pPr>
          <w:hyperlink w:anchor="_Toc156846130" w:history="1">
            <w:r w:rsidRPr="008927A3">
              <w:rPr>
                <w:rStyle w:val="Hyperlink"/>
                <w:rFonts w:ascii="Times New Roman" w:hAnsi="Times New Roman" w:cs="Times New Roman"/>
                <w:noProof/>
                <w:sz w:val="24"/>
              </w:rPr>
              <w:t>Table 2:</w:t>
            </w:r>
            <w:r w:rsidRPr="008927A3">
              <w:rPr>
                <w:rFonts w:ascii="Times New Roman" w:hAnsi="Times New Roman" w:cs="Times New Roman"/>
                <w:noProof/>
                <w:webHidden/>
                <w:sz w:val="24"/>
              </w:rPr>
              <w:tab/>
            </w:r>
            <w:r w:rsidRPr="008927A3">
              <w:rPr>
                <w:rFonts w:ascii="Times New Roman" w:hAnsi="Times New Roman" w:cs="Times New Roman"/>
                <w:noProof/>
                <w:webHidden/>
                <w:sz w:val="24"/>
              </w:rPr>
              <w:fldChar w:fldCharType="begin"/>
            </w:r>
            <w:r w:rsidRPr="008927A3">
              <w:rPr>
                <w:rFonts w:ascii="Times New Roman" w:hAnsi="Times New Roman" w:cs="Times New Roman"/>
                <w:noProof/>
                <w:webHidden/>
                <w:sz w:val="24"/>
              </w:rPr>
              <w:instrText xml:space="preserve"> PAGEREF _Toc156846130 \h </w:instrText>
            </w:r>
            <w:r w:rsidRPr="008927A3">
              <w:rPr>
                <w:rFonts w:ascii="Times New Roman" w:hAnsi="Times New Roman" w:cs="Times New Roman"/>
                <w:noProof/>
                <w:webHidden/>
                <w:sz w:val="24"/>
              </w:rPr>
            </w:r>
            <w:r w:rsidRPr="008927A3">
              <w:rPr>
                <w:rFonts w:ascii="Times New Roman" w:hAnsi="Times New Roman" w:cs="Times New Roman"/>
                <w:noProof/>
                <w:webHidden/>
                <w:sz w:val="24"/>
              </w:rPr>
              <w:fldChar w:fldCharType="separate"/>
            </w:r>
            <w:r w:rsidRPr="008927A3">
              <w:rPr>
                <w:rFonts w:ascii="Times New Roman" w:hAnsi="Times New Roman" w:cs="Times New Roman"/>
                <w:noProof/>
                <w:webHidden/>
                <w:sz w:val="24"/>
              </w:rPr>
              <w:t>48</w:t>
            </w:r>
            <w:r w:rsidRPr="008927A3">
              <w:rPr>
                <w:rFonts w:ascii="Times New Roman" w:hAnsi="Times New Roman" w:cs="Times New Roman"/>
                <w:noProof/>
                <w:webHidden/>
                <w:sz w:val="24"/>
              </w:rPr>
              <w:fldChar w:fldCharType="end"/>
            </w:r>
          </w:hyperlink>
        </w:p>
        <w:p w:rsidR="008927A3" w:rsidRPr="008927A3" w:rsidRDefault="008927A3">
          <w:pPr>
            <w:pStyle w:val="TableofFigures"/>
            <w:tabs>
              <w:tab w:val="right" w:leader="dot" w:pos="9350"/>
            </w:tabs>
            <w:rPr>
              <w:rFonts w:ascii="Times New Roman" w:eastAsiaTheme="minorEastAsia" w:hAnsi="Times New Roman" w:cs="Times New Roman"/>
              <w:noProof/>
              <w:sz w:val="24"/>
            </w:rPr>
          </w:pPr>
          <w:hyperlink w:anchor="_Toc156846131" w:history="1">
            <w:r w:rsidRPr="008927A3">
              <w:rPr>
                <w:rStyle w:val="Hyperlink"/>
                <w:rFonts w:ascii="Times New Roman" w:hAnsi="Times New Roman" w:cs="Times New Roman"/>
                <w:noProof/>
                <w:sz w:val="24"/>
              </w:rPr>
              <w:t>Table 3:</w:t>
            </w:r>
            <w:r w:rsidRPr="008927A3">
              <w:rPr>
                <w:rFonts w:ascii="Times New Roman" w:hAnsi="Times New Roman" w:cs="Times New Roman"/>
                <w:noProof/>
                <w:webHidden/>
                <w:sz w:val="24"/>
              </w:rPr>
              <w:tab/>
            </w:r>
            <w:r w:rsidRPr="008927A3">
              <w:rPr>
                <w:rFonts w:ascii="Times New Roman" w:hAnsi="Times New Roman" w:cs="Times New Roman"/>
                <w:noProof/>
                <w:webHidden/>
                <w:sz w:val="24"/>
              </w:rPr>
              <w:fldChar w:fldCharType="begin"/>
            </w:r>
            <w:r w:rsidRPr="008927A3">
              <w:rPr>
                <w:rFonts w:ascii="Times New Roman" w:hAnsi="Times New Roman" w:cs="Times New Roman"/>
                <w:noProof/>
                <w:webHidden/>
                <w:sz w:val="24"/>
              </w:rPr>
              <w:instrText xml:space="preserve"> PAGEREF _Toc156846131 \h </w:instrText>
            </w:r>
            <w:r w:rsidRPr="008927A3">
              <w:rPr>
                <w:rFonts w:ascii="Times New Roman" w:hAnsi="Times New Roman" w:cs="Times New Roman"/>
                <w:noProof/>
                <w:webHidden/>
                <w:sz w:val="24"/>
              </w:rPr>
            </w:r>
            <w:r w:rsidRPr="008927A3">
              <w:rPr>
                <w:rFonts w:ascii="Times New Roman" w:hAnsi="Times New Roman" w:cs="Times New Roman"/>
                <w:noProof/>
                <w:webHidden/>
                <w:sz w:val="24"/>
              </w:rPr>
              <w:fldChar w:fldCharType="separate"/>
            </w:r>
            <w:r w:rsidRPr="008927A3">
              <w:rPr>
                <w:rFonts w:ascii="Times New Roman" w:hAnsi="Times New Roman" w:cs="Times New Roman"/>
                <w:noProof/>
                <w:webHidden/>
                <w:sz w:val="24"/>
              </w:rPr>
              <w:t>59</w:t>
            </w:r>
            <w:r w:rsidRPr="008927A3">
              <w:rPr>
                <w:rFonts w:ascii="Times New Roman" w:hAnsi="Times New Roman" w:cs="Times New Roman"/>
                <w:noProof/>
                <w:webHidden/>
                <w:sz w:val="24"/>
              </w:rPr>
              <w:fldChar w:fldCharType="end"/>
            </w:r>
          </w:hyperlink>
        </w:p>
        <w:p w:rsidR="008927A3" w:rsidRPr="008927A3" w:rsidRDefault="008927A3">
          <w:pPr>
            <w:pStyle w:val="TableofFigures"/>
            <w:tabs>
              <w:tab w:val="right" w:leader="dot" w:pos="9350"/>
            </w:tabs>
            <w:rPr>
              <w:rFonts w:ascii="Times New Roman" w:eastAsiaTheme="minorEastAsia" w:hAnsi="Times New Roman" w:cs="Times New Roman"/>
              <w:noProof/>
              <w:sz w:val="24"/>
            </w:rPr>
          </w:pPr>
          <w:hyperlink w:anchor="_Toc156846132" w:history="1">
            <w:r w:rsidRPr="008927A3">
              <w:rPr>
                <w:rStyle w:val="Hyperlink"/>
                <w:rFonts w:ascii="Times New Roman" w:hAnsi="Times New Roman" w:cs="Times New Roman"/>
                <w:noProof/>
                <w:sz w:val="24"/>
              </w:rPr>
              <w:t>Table 4:</w:t>
            </w:r>
            <w:r w:rsidRPr="008927A3">
              <w:rPr>
                <w:rFonts w:ascii="Times New Roman" w:hAnsi="Times New Roman" w:cs="Times New Roman"/>
                <w:noProof/>
                <w:webHidden/>
                <w:sz w:val="24"/>
              </w:rPr>
              <w:tab/>
            </w:r>
            <w:r w:rsidRPr="008927A3">
              <w:rPr>
                <w:rFonts w:ascii="Times New Roman" w:hAnsi="Times New Roman" w:cs="Times New Roman"/>
                <w:noProof/>
                <w:webHidden/>
                <w:sz w:val="24"/>
              </w:rPr>
              <w:fldChar w:fldCharType="begin"/>
            </w:r>
            <w:r w:rsidRPr="008927A3">
              <w:rPr>
                <w:rFonts w:ascii="Times New Roman" w:hAnsi="Times New Roman" w:cs="Times New Roman"/>
                <w:noProof/>
                <w:webHidden/>
                <w:sz w:val="24"/>
              </w:rPr>
              <w:instrText xml:space="preserve"> PAGEREF _Toc156846132 \h </w:instrText>
            </w:r>
            <w:r w:rsidRPr="008927A3">
              <w:rPr>
                <w:rFonts w:ascii="Times New Roman" w:hAnsi="Times New Roman" w:cs="Times New Roman"/>
                <w:noProof/>
                <w:webHidden/>
                <w:sz w:val="24"/>
              </w:rPr>
            </w:r>
            <w:r w:rsidRPr="008927A3">
              <w:rPr>
                <w:rFonts w:ascii="Times New Roman" w:hAnsi="Times New Roman" w:cs="Times New Roman"/>
                <w:noProof/>
                <w:webHidden/>
                <w:sz w:val="24"/>
              </w:rPr>
              <w:fldChar w:fldCharType="separate"/>
            </w:r>
            <w:r w:rsidRPr="008927A3">
              <w:rPr>
                <w:rFonts w:ascii="Times New Roman" w:hAnsi="Times New Roman" w:cs="Times New Roman"/>
                <w:noProof/>
                <w:webHidden/>
                <w:sz w:val="24"/>
              </w:rPr>
              <w:t>68</w:t>
            </w:r>
            <w:r w:rsidRPr="008927A3">
              <w:rPr>
                <w:rFonts w:ascii="Times New Roman" w:hAnsi="Times New Roman" w:cs="Times New Roman"/>
                <w:noProof/>
                <w:webHidden/>
                <w:sz w:val="24"/>
              </w:rPr>
              <w:fldChar w:fldCharType="end"/>
            </w:r>
          </w:hyperlink>
        </w:p>
        <w:p w:rsidR="008927A3" w:rsidRPr="008927A3" w:rsidRDefault="008927A3">
          <w:pPr>
            <w:pStyle w:val="TableofFigures"/>
            <w:tabs>
              <w:tab w:val="right" w:leader="dot" w:pos="9350"/>
            </w:tabs>
            <w:rPr>
              <w:rFonts w:ascii="Times New Roman" w:eastAsiaTheme="minorEastAsia" w:hAnsi="Times New Roman" w:cs="Times New Roman"/>
              <w:noProof/>
              <w:sz w:val="24"/>
            </w:rPr>
          </w:pPr>
          <w:hyperlink w:anchor="_Toc156846133" w:history="1">
            <w:r w:rsidRPr="008927A3">
              <w:rPr>
                <w:rStyle w:val="Hyperlink"/>
                <w:rFonts w:ascii="Times New Roman" w:hAnsi="Times New Roman" w:cs="Times New Roman"/>
                <w:noProof/>
                <w:sz w:val="24"/>
              </w:rPr>
              <w:t>Table 5:</w:t>
            </w:r>
            <w:r w:rsidRPr="008927A3">
              <w:rPr>
                <w:rFonts w:ascii="Times New Roman" w:hAnsi="Times New Roman" w:cs="Times New Roman"/>
                <w:noProof/>
                <w:webHidden/>
                <w:sz w:val="24"/>
              </w:rPr>
              <w:tab/>
            </w:r>
            <w:r w:rsidRPr="008927A3">
              <w:rPr>
                <w:rFonts w:ascii="Times New Roman" w:hAnsi="Times New Roman" w:cs="Times New Roman"/>
                <w:noProof/>
                <w:webHidden/>
                <w:sz w:val="24"/>
              </w:rPr>
              <w:fldChar w:fldCharType="begin"/>
            </w:r>
            <w:r w:rsidRPr="008927A3">
              <w:rPr>
                <w:rFonts w:ascii="Times New Roman" w:hAnsi="Times New Roman" w:cs="Times New Roman"/>
                <w:noProof/>
                <w:webHidden/>
                <w:sz w:val="24"/>
              </w:rPr>
              <w:instrText xml:space="preserve"> PAGEREF _Toc156846133 \h </w:instrText>
            </w:r>
            <w:r w:rsidRPr="008927A3">
              <w:rPr>
                <w:rFonts w:ascii="Times New Roman" w:hAnsi="Times New Roman" w:cs="Times New Roman"/>
                <w:noProof/>
                <w:webHidden/>
                <w:sz w:val="24"/>
              </w:rPr>
            </w:r>
            <w:r w:rsidRPr="008927A3">
              <w:rPr>
                <w:rFonts w:ascii="Times New Roman" w:hAnsi="Times New Roman" w:cs="Times New Roman"/>
                <w:noProof/>
                <w:webHidden/>
                <w:sz w:val="24"/>
              </w:rPr>
              <w:fldChar w:fldCharType="separate"/>
            </w:r>
            <w:r w:rsidRPr="008927A3">
              <w:rPr>
                <w:rFonts w:ascii="Times New Roman" w:hAnsi="Times New Roman" w:cs="Times New Roman"/>
                <w:noProof/>
                <w:webHidden/>
                <w:sz w:val="24"/>
              </w:rPr>
              <w:t>70</w:t>
            </w:r>
            <w:r w:rsidRPr="008927A3">
              <w:rPr>
                <w:rFonts w:ascii="Times New Roman" w:hAnsi="Times New Roman" w:cs="Times New Roman"/>
                <w:noProof/>
                <w:webHidden/>
                <w:sz w:val="24"/>
              </w:rPr>
              <w:fldChar w:fldCharType="end"/>
            </w:r>
          </w:hyperlink>
        </w:p>
        <w:p w:rsidR="008927A3" w:rsidRDefault="008927A3">
          <w:pPr>
            <w:pStyle w:val="TableofFigures"/>
            <w:tabs>
              <w:tab w:val="right" w:leader="dot" w:pos="9350"/>
            </w:tabs>
            <w:rPr>
              <w:rFonts w:eastAsiaTheme="minorEastAsia"/>
              <w:noProof/>
            </w:rPr>
          </w:pPr>
          <w:hyperlink w:anchor="_Toc156846134" w:history="1">
            <w:r w:rsidRPr="008927A3">
              <w:rPr>
                <w:rStyle w:val="Hyperlink"/>
                <w:rFonts w:ascii="Times New Roman" w:hAnsi="Times New Roman" w:cs="Times New Roman"/>
                <w:noProof/>
                <w:sz w:val="24"/>
              </w:rPr>
              <w:t>Table 6:</w:t>
            </w:r>
            <w:r w:rsidRPr="008927A3">
              <w:rPr>
                <w:rFonts w:ascii="Times New Roman" w:hAnsi="Times New Roman" w:cs="Times New Roman"/>
                <w:noProof/>
                <w:webHidden/>
                <w:sz w:val="24"/>
              </w:rPr>
              <w:tab/>
            </w:r>
            <w:r w:rsidRPr="008927A3">
              <w:rPr>
                <w:rFonts w:ascii="Times New Roman" w:hAnsi="Times New Roman" w:cs="Times New Roman"/>
                <w:noProof/>
                <w:webHidden/>
                <w:sz w:val="24"/>
              </w:rPr>
              <w:fldChar w:fldCharType="begin"/>
            </w:r>
            <w:r w:rsidRPr="008927A3">
              <w:rPr>
                <w:rFonts w:ascii="Times New Roman" w:hAnsi="Times New Roman" w:cs="Times New Roman"/>
                <w:noProof/>
                <w:webHidden/>
                <w:sz w:val="24"/>
              </w:rPr>
              <w:instrText xml:space="preserve"> PAGEREF _Toc156846134 \h </w:instrText>
            </w:r>
            <w:r w:rsidRPr="008927A3">
              <w:rPr>
                <w:rFonts w:ascii="Times New Roman" w:hAnsi="Times New Roman" w:cs="Times New Roman"/>
                <w:noProof/>
                <w:webHidden/>
                <w:sz w:val="24"/>
              </w:rPr>
            </w:r>
            <w:r w:rsidRPr="008927A3">
              <w:rPr>
                <w:rFonts w:ascii="Times New Roman" w:hAnsi="Times New Roman" w:cs="Times New Roman"/>
                <w:noProof/>
                <w:webHidden/>
                <w:sz w:val="24"/>
              </w:rPr>
              <w:fldChar w:fldCharType="separate"/>
            </w:r>
            <w:r w:rsidRPr="008927A3">
              <w:rPr>
                <w:rFonts w:ascii="Times New Roman" w:hAnsi="Times New Roman" w:cs="Times New Roman"/>
                <w:noProof/>
                <w:webHidden/>
                <w:sz w:val="24"/>
              </w:rPr>
              <w:t>75</w:t>
            </w:r>
            <w:r w:rsidRPr="008927A3">
              <w:rPr>
                <w:rFonts w:ascii="Times New Roman" w:hAnsi="Times New Roman" w:cs="Times New Roman"/>
                <w:noProof/>
                <w:webHidden/>
                <w:sz w:val="24"/>
              </w:rPr>
              <w:fldChar w:fldCharType="end"/>
            </w:r>
          </w:hyperlink>
        </w:p>
        <w:p w:rsidR="0006108C" w:rsidRDefault="00493216" w:rsidP="0006108C">
          <w:pPr>
            <w:spacing w:line="276" w:lineRule="auto"/>
            <w:jc w:val="both"/>
            <w:rPr>
              <w:rFonts w:ascii="Times New Roman" w:hAnsi="Times New Roman" w:cs="Times New Roman"/>
              <w:sz w:val="24"/>
              <w:szCs w:val="24"/>
            </w:rPr>
          </w:pPr>
          <w:r w:rsidRPr="0006108C">
            <w:rPr>
              <w:rFonts w:ascii="Times New Roman" w:hAnsi="Times New Roman" w:cs="Times New Roman"/>
              <w:sz w:val="24"/>
              <w:szCs w:val="24"/>
            </w:rPr>
            <w:fldChar w:fldCharType="end"/>
          </w:r>
          <w:bookmarkStart w:id="2" w:name="_GoBack"/>
          <w:bookmarkEnd w:id="2"/>
        </w:p>
        <w:p w:rsidR="008927A3" w:rsidRPr="008927A3" w:rsidRDefault="008927A3" w:rsidP="0006108C">
          <w:pPr>
            <w:spacing w:line="276" w:lineRule="auto"/>
            <w:jc w:val="both"/>
            <w:rPr>
              <w:rFonts w:ascii="Times New Roman" w:hAnsi="Times New Roman" w:cs="Times New Roman"/>
              <w:b/>
              <w:sz w:val="24"/>
              <w:szCs w:val="24"/>
            </w:rPr>
          </w:pPr>
          <w:r w:rsidRPr="008927A3">
            <w:rPr>
              <w:rFonts w:ascii="Times New Roman" w:hAnsi="Times New Roman" w:cs="Times New Roman"/>
              <w:b/>
              <w:sz w:val="24"/>
              <w:szCs w:val="24"/>
            </w:rPr>
            <w:lastRenderedPageBreak/>
            <w:t>List of Figures</w:t>
          </w:r>
        </w:p>
        <w:p w:rsidR="008927A3" w:rsidRPr="008927A3" w:rsidRDefault="0006108C">
          <w:pPr>
            <w:pStyle w:val="TableofFigures"/>
            <w:tabs>
              <w:tab w:val="right" w:leader="dot" w:pos="9350"/>
            </w:tabs>
            <w:rPr>
              <w:rFonts w:eastAsiaTheme="minorEastAsia"/>
              <w:noProof/>
              <w:sz w:val="24"/>
            </w:rPr>
          </w:pPr>
          <w:r w:rsidRPr="0006108C">
            <w:rPr>
              <w:rFonts w:ascii="Times New Roman" w:hAnsi="Times New Roman" w:cs="Times New Roman"/>
              <w:sz w:val="24"/>
              <w:szCs w:val="24"/>
            </w:rPr>
            <w:fldChar w:fldCharType="begin"/>
          </w:r>
          <w:r w:rsidRPr="0006108C">
            <w:rPr>
              <w:rFonts w:ascii="Times New Roman" w:hAnsi="Times New Roman" w:cs="Times New Roman"/>
              <w:sz w:val="24"/>
              <w:szCs w:val="24"/>
            </w:rPr>
            <w:instrText xml:space="preserve"> TOC \h \z \c "Figure" </w:instrText>
          </w:r>
          <w:r w:rsidRPr="0006108C">
            <w:rPr>
              <w:rFonts w:ascii="Times New Roman" w:hAnsi="Times New Roman" w:cs="Times New Roman"/>
              <w:sz w:val="24"/>
              <w:szCs w:val="24"/>
            </w:rPr>
            <w:fldChar w:fldCharType="separate"/>
          </w:r>
          <w:hyperlink r:id="rId8" w:anchor="_Toc156846077" w:history="1">
            <w:r w:rsidR="008927A3" w:rsidRPr="008927A3">
              <w:rPr>
                <w:rStyle w:val="Hyperlink"/>
                <w:rFonts w:ascii="Times New Roman" w:hAnsi="Times New Roman" w:cs="Times New Roman"/>
                <w:noProof/>
                <w:sz w:val="24"/>
              </w:rPr>
              <w:t>Figure 1</w:t>
            </w:r>
            <w:r w:rsidR="008927A3" w:rsidRPr="008927A3">
              <w:rPr>
                <w:noProof/>
                <w:webHidden/>
                <w:sz w:val="24"/>
              </w:rPr>
              <w:tab/>
            </w:r>
            <w:r w:rsidR="008927A3" w:rsidRPr="008927A3">
              <w:rPr>
                <w:noProof/>
                <w:webHidden/>
                <w:sz w:val="24"/>
              </w:rPr>
              <w:fldChar w:fldCharType="begin"/>
            </w:r>
            <w:r w:rsidR="008927A3" w:rsidRPr="008927A3">
              <w:rPr>
                <w:noProof/>
                <w:webHidden/>
                <w:sz w:val="24"/>
              </w:rPr>
              <w:instrText xml:space="preserve"> PAGEREF _Toc156846077 \h </w:instrText>
            </w:r>
            <w:r w:rsidR="008927A3" w:rsidRPr="008927A3">
              <w:rPr>
                <w:noProof/>
                <w:webHidden/>
                <w:sz w:val="24"/>
              </w:rPr>
            </w:r>
            <w:r w:rsidR="008927A3" w:rsidRPr="008927A3">
              <w:rPr>
                <w:noProof/>
                <w:webHidden/>
                <w:sz w:val="24"/>
              </w:rPr>
              <w:fldChar w:fldCharType="separate"/>
            </w:r>
            <w:r w:rsidR="008927A3" w:rsidRPr="008927A3">
              <w:rPr>
                <w:noProof/>
                <w:webHidden/>
                <w:sz w:val="24"/>
              </w:rPr>
              <w:t>13</w:t>
            </w:r>
            <w:r w:rsidR="008927A3"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78" w:history="1">
            <w:r w:rsidRPr="008927A3">
              <w:rPr>
                <w:rStyle w:val="Hyperlink"/>
                <w:rFonts w:ascii="Times New Roman" w:hAnsi="Times New Roman" w:cs="Times New Roman"/>
                <w:noProof/>
                <w:sz w:val="24"/>
              </w:rPr>
              <w:t>Figure 2</w:t>
            </w:r>
            <w:r w:rsidRPr="008927A3">
              <w:rPr>
                <w:noProof/>
                <w:webHidden/>
                <w:sz w:val="24"/>
              </w:rPr>
              <w:tab/>
            </w:r>
            <w:r w:rsidRPr="008927A3">
              <w:rPr>
                <w:noProof/>
                <w:webHidden/>
                <w:sz w:val="24"/>
              </w:rPr>
              <w:fldChar w:fldCharType="begin"/>
            </w:r>
            <w:r w:rsidRPr="008927A3">
              <w:rPr>
                <w:noProof/>
                <w:webHidden/>
                <w:sz w:val="24"/>
              </w:rPr>
              <w:instrText xml:space="preserve"> PAGEREF _Toc156846078 \h </w:instrText>
            </w:r>
            <w:r w:rsidRPr="008927A3">
              <w:rPr>
                <w:noProof/>
                <w:webHidden/>
                <w:sz w:val="24"/>
              </w:rPr>
            </w:r>
            <w:r w:rsidRPr="008927A3">
              <w:rPr>
                <w:noProof/>
                <w:webHidden/>
                <w:sz w:val="24"/>
              </w:rPr>
              <w:fldChar w:fldCharType="separate"/>
            </w:r>
            <w:r w:rsidRPr="008927A3">
              <w:rPr>
                <w:noProof/>
                <w:webHidden/>
                <w:sz w:val="24"/>
              </w:rPr>
              <w:t>16</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79" w:history="1">
            <w:r w:rsidRPr="008927A3">
              <w:rPr>
                <w:rStyle w:val="Hyperlink"/>
                <w:rFonts w:ascii="Times New Roman" w:hAnsi="Times New Roman" w:cs="Times New Roman"/>
                <w:noProof/>
                <w:sz w:val="24"/>
              </w:rPr>
              <w:t>Figure 3</w:t>
            </w:r>
            <w:r w:rsidRPr="008927A3">
              <w:rPr>
                <w:noProof/>
                <w:webHidden/>
                <w:sz w:val="24"/>
              </w:rPr>
              <w:tab/>
            </w:r>
            <w:r w:rsidRPr="008927A3">
              <w:rPr>
                <w:noProof/>
                <w:webHidden/>
                <w:sz w:val="24"/>
              </w:rPr>
              <w:fldChar w:fldCharType="begin"/>
            </w:r>
            <w:r w:rsidRPr="008927A3">
              <w:rPr>
                <w:noProof/>
                <w:webHidden/>
                <w:sz w:val="24"/>
              </w:rPr>
              <w:instrText xml:space="preserve"> PAGEREF _Toc156846079 \h </w:instrText>
            </w:r>
            <w:r w:rsidRPr="008927A3">
              <w:rPr>
                <w:noProof/>
                <w:webHidden/>
                <w:sz w:val="24"/>
              </w:rPr>
            </w:r>
            <w:r w:rsidRPr="008927A3">
              <w:rPr>
                <w:noProof/>
                <w:webHidden/>
                <w:sz w:val="24"/>
              </w:rPr>
              <w:fldChar w:fldCharType="separate"/>
            </w:r>
            <w:r w:rsidRPr="008927A3">
              <w:rPr>
                <w:noProof/>
                <w:webHidden/>
                <w:sz w:val="24"/>
              </w:rPr>
              <w:t>18</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r:id="rId9" w:anchor="_Toc156846080" w:history="1">
            <w:r w:rsidRPr="008927A3">
              <w:rPr>
                <w:rStyle w:val="Hyperlink"/>
                <w:rFonts w:ascii="Times New Roman" w:hAnsi="Times New Roman" w:cs="Times New Roman"/>
                <w:noProof/>
                <w:sz w:val="24"/>
              </w:rPr>
              <w:t>Figure 4</w:t>
            </w:r>
            <w:r w:rsidRPr="008927A3">
              <w:rPr>
                <w:noProof/>
                <w:webHidden/>
                <w:sz w:val="24"/>
              </w:rPr>
              <w:tab/>
            </w:r>
            <w:r w:rsidRPr="008927A3">
              <w:rPr>
                <w:noProof/>
                <w:webHidden/>
                <w:sz w:val="24"/>
              </w:rPr>
              <w:fldChar w:fldCharType="begin"/>
            </w:r>
            <w:r w:rsidRPr="008927A3">
              <w:rPr>
                <w:noProof/>
                <w:webHidden/>
                <w:sz w:val="24"/>
              </w:rPr>
              <w:instrText xml:space="preserve"> PAGEREF _Toc156846080 \h </w:instrText>
            </w:r>
            <w:r w:rsidRPr="008927A3">
              <w:rPr>
                <w:noProof/>
                <w:webHidden/>
                <w:sz w:val="24"/>
              </w:rPr>
            </w:r>
            <w:r w:rsidRPr="008927A3">
              <w:rPr>
                <w:noProof/>
                <w:webHidden/>
                <w:sz w:val="24"/>
              </w:rPr>
              <w:fldChar w:fldCharType="separate"/>
            </w:r>
            <w:r w:rsidRPr="008927A3">
              <w:rPr>
                <w:noProof/>
                <w:webHidden/>
                <w:sz w:val="24"/>
              </w:rPr>
              <w:t>21</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r:id="rId10" w:anchor="_Toc156846081" w:history="1">
            <w:r w:rsidRPr="008927A3">
              <w:rPr>
                <w:rStyle w:val="Hyperlink"/>
                <w:rFonts w:ascii="Times New Roman" w:hAnsi="Times New Roman" w:cs="Times New Roman"/>
                <w:noProof/>
                <w:sz w:val="24"/>
              </w:rPr>
              <w:t>Figure 5</w:t>
            </w:r>
            <w:r w:rsidRPr="008927A3">
              <w:rPr>
                <w:noProof/>
                <w:webHidden/>
                <w:sz w:val="24"/>
              </w:rPr>
              <w:tab/>
            </w:r>
            <w:r w:rsidRPr="008927A3">
              <w:rPr>
                <w:noProof/>
                <w:webHidden/>
                <w:sz w:val="24"/>
              </w:rPr>
              <w:fldChar w:fldCharType="begin"/>
            </w:r>
            <w:r w:rsidRPr="008927A3">
              <w:rPr>
                <w:noProof/>
                <w:webHidden/>
                <w:sz w:val="24"/>
              </w:rPr>
              <w:instrText xml:space="preserve"> PAGEREF _Toc156846081 \h </w:instrText>
            </w:r>
            <w:r w:rsidRPr="008927A3">
              <w:rPr>
                <w:noProof/>
                <w:webHidden/>
                <w:sz w:val="24"/>
              </w:rPr>
            </w:r>
            <w:r w:rsidRPr="008927A3">
              <w:rPr>
                <w:noProof/>
                <w:webHidden/>
                <w:sz w:val="24"/>
              </w:rPr>
              <w:fldChar w:fldCharType="separate"/>
            </w:r>
            <w:r w:rsidRPr="008927A3">
              <w:rPr>
                <w:noProof/>
                <w:webHidden/>
                <w:sz w:val="24"/>
              </w:rPr>
              <w:t>35</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82" w:history="1">
            <w:r w:rsidRPr="008927A3">
              <w:rPr>
                <w:rStyle w:val="Hyperlink"/>
                <w:rFonts w:ascii="Times New Roman" w:hAnsi="Times New Roman" w:cs="Times New Roman"/>
                <w:noProof/>
                <w:sz w:val="24"/>
              </w:rPr>
              <w:t>Figure 6</w:t>
            </w:r>
            <w:r w:rsidRPr="008927A3">
              <w:rPr>
                <w:noProof/>
                <w:webHidden/>
                <w:sz w:val="24"/>
              </w:rPr>
              <w:tab/>
            </w:r>
            <w:r w:rsidRPr="008927A3">
              <w:rPr>
                <w:noProof/>
                <w:webHidden/>
                <w:sz w:val="24"/>
              </w:rPr>
              <w:fldChar w:fldCharType="begin"/>
            </w:r>
            <w:r w:rsidRPr="008927A3">
              <w:rPr>
                <w:noProof/>
                <w:webHidden/>
                <w:sz w:val="24"/>
              </w:rPr>
              <w:instrText xml:space="preserve"> PAGEREF _Toc156846082 \h </w:instrText>
            </w:r>
            <w:r w:rsidRPr="008927A3">
              <w:rPr>
                <w:noProof/>
                <w:webHidden/>
                <w:sz w:val="24"/>
              </w:rPr>
            </w:r>
            <w:r w:rsidRPr="008927A3">
              <w:rPr>
                <w:noProof/>
                <w:webHidden/>
                <w:sz w:val="24"/>
              </w:rPr>
              <w:fldChar w:fldCharType="separate"/>
            </w:r>
            <w:r w:rsidRPr="008927A3">
              <w:rPr>
                <w:noProof/>
                <w:webHidden/>
                <w:sz w:val="24"/>
              </w:rPr>
              <w:t>37</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83" w:history="1">
            <w:r w:rsidRPr="008927A3">
              <w:rPr>
                <w:rStyle w:val="Hyperlink"/>
                <w:rFonts w:ascii="Times New Roman" w:hAnsi="Times New Roman" w:cs="Times New Roman"/>
                <w:noProof/>
                <w:sz w:val="24"/>
              </w:rPr>
              <w:t>Figure 7</w:t>
            </w:r>
            <w:r w:rsidRPr="008927A3">
              <w:rPr>
                <w:noProof/>
                <w:webHidden/>
                <w:sz w:val="24"/>
              </w:rPr>
              <w:tab/>
            </w:r>
            <w:r w:rsidRPr="008927A3">
              <w:rPr>
                <w:noProof/>
                <w:webHidden/>
                <w:sz w:val="24"/>
              </w:rPr>
              <w:fldChar w:fldCharType="begin"/>
            </w:r>
            <w:r w:rsidRPr="008927A3">
              <w:rPr>
                <w:noProof/>
                <w:webHidden/>
                <w:sz w:val="24"/>
              </w:rPr>
              <w:instrText xml:space="preserve"> PAGEREF _Toc156846083 \h </w:instrText>
            </w:r>
            <w:r w:rsidRPr="008927A3">
              <w:rPr>
                <w:noProof/>
                <w:webHidden/>
                <w:sz w:val="24"/>
              </w:rPr>
            </w:r>
            <w:r w:rsidRPr="008927A3">
              <w:rPr>
                <w:noProof/>
                <w:webHidden/>
                <w:sz w:val="24"/>
              </w:rPr>
              <w:fldChar w:fldCharType="separate"/>
            </w:r>
            <w:r w:rsidRPr="008927A3">
              <w:rPr>
                <w:noProof/>
                <w:webHidden/>
                <w:sz w:val="24"/>
              </w:rPr>
              <w:t>42</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84" w:history="1">
            <w:r w:rsidRPr="008927A3">
              <w:rPr>
                <w:rStyle w:val="Hyperlink"/>
                <w:rFonts w:ascii="Times New Roman" w:hAnsi="Times New Roman" w:cs="Times New Roman"/>
                <w:noProof/>
                <w:sz w:val="24"/>
              </w:rPr>
              <w:t>Figure 8</w:t>
            </w:r>
            <w:r w:rsidRPr="008927A3">
              <w:rPr>
                <w:noProof/>
                <w:webHidden/>
                <w:sz w:val="24"/>
              </w:rPr>
              <w:tab/>
            </w:r>
            <w:r w:rsidRPr="008927A3">
              <w:rPr>
                <w:noProof/>
                <w:webHidden/>
                <w:sz w:val="24"/>
              </w:rPr>
              <w:fldChar w:fldCharType="begin"/>
            </w:r>
            <w:r w:rsidRPr="008927A3">
              <w:rPr>
                <w:noProof/>
                <w:webHidden/>
                <w:sz w:val="24"/>
              </w:rPr>
              <w:instrText xml:space="preserve"> PAGEREF _Toc156846084 \h </w:instrText>
            </w:r>
            <w:r w:rsidRPr="008927A3">
              <w:rPr>
                <w:noProof/>
                <w:webHidden/>
                <w:sz w:val="24"/>
              </w:rPr>
            </w:r>
            <w:r w:rsidRPr="008927A3">
              <w:rPr>
                <w:noProof/>
                <w:webHidden/>
                <w:sz w:val="24"/>
              </w:rPr>
              <w:fldChar w:fldCharType="separate"/>
            </w:r>
            <w:r w:rsidRPr="008927A3">
              <w:rPr>
                <w:noProof/>
                <w:webHidden/>
                <w:sz w:val="24"/>
              </w:rPr>
              <w:t>43</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85" w:history="1">
            <w:r w:rsidRPr="008927A3">
              <w:rPr>
                <w:rStyle w:val="Hyperlink"/>
                <w:rFonts w:ascii="Times New Roman" w:hAnsi="Times New Roman" w:cs="Times New Roman"/>
                <w:noProof/>
                <w:sz w:val="24"/>
              </w:rPr>
              <w:t>Figure 9</w:t>
            </w:r>
            <w:r w:rsidRPr="008927A3">
              <w:rPr>
                <w:noProof/>
                <w:webHidden/>
                <w:sz w:val="24"/>
              </w:rPr>
              <w:tab/>
            </w:r>
            <w:r w:rsidRPr="008927A3">
              <w:rPr>
                <w:noProof/>
                <w:webHidden/>
                <w:sz w:val="24"/>
              </w:rPr>
              <w:fldChar w:fldCharType="begin"/>
            </w:r>
            <w:r w:rsidRPr="008927A3">
              <w:rPr>
                <w:noProof/>
                <w:webHidden/>
                <w:sz w:val="24"/>
              </w:rPr>
              <w:instrText xml:space="preserve"> PAGEREF _Toc156846085 \h </w:instrText>
            </w:r>
            <w:r w:rsidRPr="008927A3">
              <w:rPr>
                <w:noProof/>
                <w:webHidden/>
                <w:sz w:val="24"/>
              </w:rPr>
            </w:r>
            <w:r w:rsidRPr="008927A3">
              <w:rPr>
                <w:noProof/>
                <w:webHidden/>
                <w:sz w:val="24"/>
              </w:rPr>
              <w:fldChar w:fldCharType="separate"/>
            </w:r>
            <w:r w:rsidRPr="008927A3">
              <w:rPr>
                <w:noProof/>
                <w:webHidden/>
                <w:sz w:val="24"/>
              </w:rPr>
              <w:t>45</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86" w:history="1">
            <w:r w:rsidRPr="008927A3">
              <w:rPr>
                <w:rStyle w:val="Hyperlink"/>
                <w:rFonts w:ascii="Times New Roman" w:hAnsi="Times New Roman" w:cs="Times New Roman"/>
                <w:noProof/>
                <w:sz w:val="24"/>
              </w:rPr>
              <w:t>Figure 10</w:t>
            </w:r>
            <w:r w:rsidRPr="008927A3">
              <w:rPr>
                <w:noProof/>
                <w:webHidden/>
                <w:sz w:val="24"/>
              </w:rPr>
              <w:tab/>
            </w:r>
            <w:r w:rsidRPr="008927A3">
              <w:rPr>
                <w:noProof/>
                <w:webHidden/>
                <w:sz w:val="24"/>
              </w:rPr>
              <w:fldChar w:fldCharType="begin"/>
            </w:r>
            <w:r w:rsidRPr="008927A3">
              <w:rPr>
                <w:noProof/>
                <w:webHidden/>
                <w:sz w:val="24"/>
              </w:rPr>
              <w:instrText xml:space="preserve"> PAGEREF _Toc156846086 \h </w:instrText>
            </w:r>
            <w:r w:rsidRPr="008927A3">
              <w:rPr>
                <w:noProof/>
                <w:webHidden/>
                <w:sz w:val="24"/>
              </w:rPr>
            </w:r>
            <w:r w:rsidRPr="008927A3">
              <w:rPr>
                <w:noProof/>
                <w:webHidden/>
                <w:sz w:val="24"/>
              </w:rPr>
              <w:fldChar w:fldCharType="separate"/>
            </w:r>
            <w:r w:rsidRPr="008927A3">
              <w:rPr>
                <w:noProof/>
                <w:webHidden/>
                <w:sz w:val="24"/>
              </w:rPr>
              <w:t>46</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87" w:history="1">
            <w:r w:rsidRPr="008927A3">
              <w:rPr>
                <w:rStyle w:val="Hyperlink"/>
                <w:rFonts w:ascii="Times New Roman" w:hAnsi="Times New Roman" w:cs="Times New Roman"/>
                <w:noProof/>
                <w:sz w:val="24"/>
              </w:rPr>
              <w:t>Figure 11</w:t>
            </w:r>
            <w:r w:rsidRPr="008927A3">
              <w:rPr>
                <w:noProof/>
                <w:webHidden/>
                <w:sz w:val="24"/>
              </w:rPr>
              <w:tab/>
            </w:r>
            <w:r w:rsidRPr="008927A3">
              <w:rPr>
                <w:noProof/>
                <w:webHidden/>
                <w:sz w:val="24"/>
              </w:rPr>
              <w:fldChar w:fldCharType="begin"/>
            </w:r>
            <w:r w:rsidRPr="008927A3">
              <w:rPr>
                <w:noProof/>
                <w:webHidden/>
                <w:sz w:val="24"/>
              </w:rPr>
              <w:instrText xml:space="preserve"> PAGEREF _Toc156846087 \h </w:instrText>
            </w:r>
            <w:r w:rsidRPr="008927A3">
              <w:rPr>
                <w:noProof/>
                <w:webHidden/>
                <w:sz w:val="24"/>
              </w:rPr>
            </w:r>
            <w:r w:rsidRPr="008927A3">
              <w:rPr>
                <w:noProof/>
                <w:webHidden/>
                <w:sz w:val="24"/>
              </w:rPr>
              <w:fldChar w:fldCharType="separate"/>
            </w:r>
            <w:r w:rsidRPr="008927A3">
              <w:rPr>
                <w:noProof/>
                <w:webHidden/>
                <w:sz w:val="24"/>
              </w:rPr>
              <w:t>47</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88" w:history="1">
            <w:r w:rsidRPr="008927A3">
              <w:rPr>
                <w:rStyle w:val="Hyperlink"/>
                <w:rFonts w:ascii="Times New Roman" w:hAnsi="Times New Roman" w:cs="Times New Roman"/>
                <w:noProof/>
                <w:sz w:val="24"/>
              </w:rPr>
              <w:t>Figure 12</w:t>
            </w:r>
            <w:r w:rsidRPr="008927A3">
              <w:rPr>
                <w:noProof/>
                <w:webHidden/>
                <w:sz w:val="24"/>
              </w:rPr>
              <w:tab/>
            </w:r>
            <w:r w:rsidRPr="008927A3">
              <w:rPr>
                <w:noProof/>
                <w:webHidden/>
                <w:sz w:val="24"/>
              </w:rPr>
              <w:fldChar w:fldCharType="begin"/>
            </w:r>
            <w:r w:rsidRPr="008927A3">
              <w:rPr>
                <w:noProof/>
                <w:webHidden/>
                <w:sz w:val="24"/>
              </w:rPr>
              <w:instrText xml:space="preserve"> PAGEREF _Toc156846088 \h </w:instrText>
            </w:r>
            <w:r w:rsidRPr="008927A3">
              <w:rPr>
                <w:noProof/>
                <w:webHidden/>
                <w:sz w:val="24"/>
              </w:rPr>
            </w:r>
            <w:r w:rsidRPr="008927A3">
              <w:rPr>
                <w:noProof/>
                <w:webHidden/>
                <w:sz w:val="24"/>
              </w:rPr>
              <w:fldChar w:fldCharType="separate"/>
            </w:r>
            <w:r w:rsidRPr="008927A3">
              <w:rPr>
                <w:noProof/>
                <w:webHidden/>
                <w:sz w:val="24"/>
              </w:rPr>
              <w:t>52</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89" w:history="1">
            <w:r w:rsidRPr="008927A3">
              <w:rPr>
                <w:rStyle w:val="Hyperlink"/>
                <w:rFonts w:ascii="Times New Roman" w:hAnsi="Times New Roman" w:cs="Times New Roman"/>
                <w:noProof/>
                <w:sz w:val="24"/>
              </w:rPr>
              <w:t>Figure 13</w:t>
            </w:r>
            <w:r w:rsidRPr="008927A3">
              <w:rPr>
                <w:noProof/>
                <w:webHidden/>
                <w:sz w:val="24"/>
              </w:rPr>
              <w:tab/>
            </w:r>
            <w:r w:rsidRPr="008927A3">
              <w:rPr>
                <w:noProof/>
                <w:webHidden/>
                <w:sz w:val="24"/>
              </w:rPr>
              <w:fldChar w:fldCharType="begin"/>
            </w:r>
            <w:r w:rsidRPr="008927A3">
              <w:rPr>
                <w:noProof/>
                <w:webHidden/>
                <w:sz w:val="24"/>
              </w:rPr>
              <w:instrText xml:space="preserve"> PAGEREF _Toc156846089 \h </w:instrText>
            </w:r>
            <w:r w:rsidRPr="008927A3">
              <w:rPr>
                <w:noProof/>
                <w:webHidden/>
                <w:sz w:val="24"/>
              </w:rPr>
            </w:r>
            <w:r w:rsidRPr="008927A3">
              <w:rPr>
                <w:noProof/>
                <w:webHidden/>
                <w:sz w:val="24"/>
              </w:rPr>
              <w:fldChar w:fldCharType="separate"/>
            </w:r>
            <w:r w:rsidRPr="008927A3">
              <w:rPr>
                <w:noProof/>
                <w:webHidden/>
                <w:sz w:val="24"/>
              </w:rPr>
              <w:t>53</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r:id="rId11" w:anchor="_Toc156846090" w:history="1">
            <w:r w:rsidRPr="008927A3">
              <w:rPr>
                <w:rStyle w:val="Hyperlink"/>
                <w:rFonts w:ascii="Times New Roman" w:hAnsi="Times New Roman" w:cs="Times New Roman"/>
                <w:noProof/>
                <w:sz w:val="24"/>
              </w:rPr>
              <w:t>Figure 14</w:t>
            </w:r>
            <w:r w:rsidRPr="008927A3">
              <w:rPr>
                <w:noProof/>
                <w:webHidden/>
                <w:sz w:val="24"/>
              </w:rPr>
              <w:tab/>
            </w:r>
            <w:r w:rsidRPr="008927A3">
              <w:rPr>
                <w:noProof/>
                <w:webHidden/>
                <w:sz w:val="24"/>
              </w:rPr>
              <w:fldChar w:fldCharType="begin"/>
            </w:r>
            <w:r w:rsidRPr="008927A3">
              <w:rPr>
                <w:noProof/>
                <w:webHidden/>
                <w:sz w:val="24"/>
              </w:rPr>
              <w:instrText xml:space="preserve"> PAGEREF _Toc156846090 \h </w:instrText>
            </w:r>
            <w:r w:rsidRPr="008927A3">
              <w:rPr>
                <w:noProof/>
                <w:webHidden/>
                <w:sz w:val="24"/>
              </w:rPr>
            </w:r>
            <w:r w:rsidRPr="008927A3">
              <w:rPr>
                <w:noProof/>
                <w:webHidden/>
                <w:sz w:val="24"/>
              </w:rPr>
              <w:fldChar w:fldCharType="separate"/>
            </w:r>
            <w:r w:rsidRPr="008927A3">
              <w:rPr>
                <w:noProof/>
                <w:webHidden/>
                <w:sz w:val="24"/>
              </w:rPr>
              <w:t>55</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r:id="rId12" w:anchor="_Toc156846091" w:history="1">
            <w:r w:rsidRPr="008927A3">
              <w:rPr>
                <w:rStyle w:val="Hyperlink"/>
                <w:rFonts w:ascii="Times New Roman" w:hAnsi="Times New Roman" w:cs="Times New Roman"/>
                <w:noProof/>
                <w:sz w:val="24"/>
              </w:rPr>
              <w:t>Figure 15</w:t>
            </w:r>
            <w:r w:rsidRPr="008927A3">
              <w:rPr>
                <w:noProof/>
                <w:webHidden/>
                <w:sz w:val="24"/>
              </w:rPr>
              <w:tab/>
            </w:r>
            <w:r w:rsidRPr="008927A3">
              <w:rPr>
                <w:noProof/>
                <w:webHidden/>
                <w:sz w:val="24"/>
              </w:rPr>
              <w:fldChar w:fldCharType="begin"/>
            </w:r>
            <w:r w:rsidRPr="008927A3">
              <w:rPr>
                <w:noProof/>
                <w:webHidden/>
                <w:sz w:val="24"/>
              </w:rPr>
              <w:instrText xml:space="preserve"> PAGEREF _Toc156846091 \h </w:instrText>
            </w:r>
            <w:r w:rsidRPr="008927A3">
              <w:rPr>
                <w:noProof/>
                <w:webHidden/>
                <w:sz w:val="24"/>
              </w:rPr>
            </w:r>
            <w:r w:rsidRPr="008927A3">
              <w:rPr>
                <w:noProof/>
                <w:webHidden/>
                <w:sz w:val="24"/>
              </w:rPr>
              <w:fldChar w:fldCharType="separate"/>
            </w:r>
            <w:r w:rsidRPr="008927A3">
              <w:rPr>
                <w:noProof/>
                <w:webHidden/>
                <w:sz w:val="24"/>
              </w:rPr>
              <w:t>56</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r:id="rId13" w:anchor="_Toc156846092" w:history="1">
            <w:r w:rsidRPr="008927A3">
              <w:rPr>
                <w:rStyle w:val="Hyperlink"/>
                <w:rFonts w:ascii="Times New Roman" w:hAnsi="Times New Roman" w:cs="Times New Roman"/>
                <w:noProof/>
                <w:sz w:val="24"/>
              </w:rPr>
              <w:t>Figure 16</w:t>
            </w:r>
            <w:r w:rsidRPr="008927A3">
              <w:rPr>
                <w:noProof/>
                <w:webHidden/>
                <w:sz w:val="24"/>
              </w:rPr>
              <w:tab/>
            </w:r>
            <w:r w:rsidRPr="008927A3">
              <w:rPr>
                <w:noProof/>
                <w:webHidden/>
                <w:sz w:val="24"/>
              </w:rPr>
              <w:fldChar w:fldCharType="begin"/>
            </w:r>
            <w:r w:rsidRPr="008927A3">
              <w:rPr>
                <w:noProof/>
                <w:webHidden/>
                <w:sz w:val="24"/>
              </w:rPr>
              <w:instrText xml:space="preserve"> PAGEREF _Toc156846092 \h </w:instrText>
            </w:r>
            <w:r w:rsidRPr="008927A3">
              <w:rPr>
                <w:noProof/>
                <w:webHidden/>
                <w:sz w:val="24"/>
              </w:rPr>
            </w:r>
            <w:r w:rsidRPr="008927A3">
              <w:rPr>
                <w:noProof/>
                <w:webHidden/>
                <w:sz w:val="24"/>
              </w:rPr>
              <w:fldChar w:fldCharType="separate"/>
            </w:r>
            <w:r w:rsidRPr="008927A3">
              <w:rPr>
                <w:noProof/>
                <w:webHidden/>
                <w:sz w:val="24"/>
              </w:rPr>
              <w:t>57</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93" w:history="1">
            <w:r w:rsidRPr="008927A3">
              <w:rPr>
                <w:rStyle w:val="Hyperlink"/>
                <w:rFonts w:ascii="Times New Roman" w:hAnsi="Times New Roman" w:cs="Times New Roman"/>
                <w:noProof/>
                <w:sz w:val="24"/>
              </w:rPr>
              <w:t>Figure 17</w:t>
            </w:r>
            <w:r w:rsidRPr="008927A3">
              <w:rPr>
                <w:noProof/>
                <w:webHidden/>
                <w:sz w:val="24"/>
              </w:rPr>
              <w:tab/>
            </w:r>
            <w:r w:rsidRPr="008927A3">
              <w:rPr>
                <w:noProof/>
                <w:webHidden/>
                <w:sz w:val="24"/>
              </w:rPr>
              <w:fldChar w:fldCharType="begin"/>
            </w:r>
            <w:r w:rsidRPr="008927A3">
              <w:rPr>
                <w:noProof/>
                <w:webHidden/>
                <w:sz w:val="24"/>
              </w:rPr>
              <w:instrText xml:space="preserve"> PAGEREF _Toc156846093 \h </w:instrText>
            </w:r>
            <w:r w:rsidRPr="008927A3">
              <w:rPr>
                <w:noProof/>
                <w:webHidden/>
                <w:sz w:val="24"/>
              </w:rPr>
            </w:r>
            <w:r w:rsidRPr="008927A3">
              <w:rPr>
                <w:noProof/>
                <w:webHidden/>
                <w:sz w:val="24"/>
              </w:rPr>
              <w:fldChar w:fldCharType="separate"/>
            </w:r>
            <w:r w:rsidRPr="008927A3">
              <w:rPr>
                <w:noProof/>
                <w:webHidden/>
                <w:sz w:val="24"/>
              </w:rPr>
              <w:t>58</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94" w:history="1">
            <w:r w:rsidRPr="008927A3">
              <w:rPr>
                <w:rStyle w:val="Hyperlink"/>
                <w:rFonts w:ascii="Times New Roman" w:hAnsi="Times New Roman" w:cs="Times New Roman"/>
                <w:noProof/>
                <w:sz w:val="24"/>
              </w:rPr>
              <w:t>Figure 18</w:t>
            </w:r>
            <w:r w:rsidRPr="008927A3">
              <w:rPr>
                <w:noProof/>
                <w:webHidden/>
                <w:sz w:val="24"/>
              </w:rPr>
              <w:tab/>
            </w:r>
            <w:r w:rsidRPr="008927A3">
              <w:rPr>
                <w:noProof/>
                <w:webHidden/>
                <w:sz w:val="24"/>
              </w:rPr>
              <w:fldChar w:fldCharType="begin"/>
            </w:r>
            <w:r w:rsidRPr="008927A3">
              <w:rPr>
                <w:noProof/>
                <w:webHidden/>
                <w:sz w:val="24"/>
              </w:rPr>
              <w:instrText xml:space="preserve"> PAGEREF _Toc156846094 \h </w:instrText>
            </w:r>
            <w:r w:rsidRPr="008927A3">
              <w:rPr>
                <w:noProof/>
                <w:webHidden/>
                <w:sz w:val="24"/>
              </w:rPr>
            </w:r>
            <w:r w:rsidRPr="008927A3">
              <w:rPr>
                <w:noProof/>
                <w:webHidden/>
                <w:sz w:val="24"/>
              </w:rPr>
              <w:fldChar w:fldCharType="separate"/>
            </w:r>
            <w:r w:rsidRPr="008927A3">
              <w:rPr>
                <w:noProof/>
                <w:webHidden/>
                <w:sz w:val="24"/>
              </w:rPr>
              <w:t>67</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95" w:history="1">
            <w:r w:rsidRPr="008927A3">
              <w:rPr>
                <w:rStyle w:val="Hyperlink"/>
                <w:rFonts w:ascii="Times New Roman" w:hAnsi="Times New Roman" w:cs="Times New Roman"/>
                <w:noProof/>
                <w:sz w:val="24"/>
              </w:rPr>
              <w:t>Figure 19</w:t>
            </w:r>
            <w:r w:rsidRPr="008927A3">
              <w:rPr>
                <w:noProof/>
                <w:webHidden/>
                <w:sz w:val="24"/>
              </w:rPr>
              <w:tab/>
            </w:r>
            <w:r w:rsidRPr="008927A3">
              <w:rPr>
                <w:noProof/>
                <w:webHidden/>
                <w:sz w:val="24"/>
              </w:rPr>
              <w:fldChar w:fldCharType="begin"/>
            </w:r>
            <w:r w:rsidRPr="008927A3">
              <w:rPr>
                <w:noProof/>
                <w:webHidden/>
                <w:sz w:val="24"/>
              </w:rPr>
              <w:instrText xml:space="preserve"> PAGEREF _Toc156846095 \h </w:instrText>
            </w:r>
            <w:r w:rsidRPr="008927A3">
              <w:rPr>
                <w:noProof/>
                <w:webHidden/>
                <w:sz w:val="24"/>
              </w:rPr>
            </w:r>
            <w:r w:rsidRPr="008927A3">
              <w:rPr>
                <w:noProof/>
                <w:webHidden/>
                <w:sz w:val="24"/>
              </w:rPr>
              <w:fldChar w:fldCharType="separate"/>
            </w:r>
            <w:r w:rsidRPr="008927A3">
              <w:rPr>
                <w:noProof/>
                <w:webHidden/>
                <w:sz w:val="24"/>
              </w:rPr>
              <w:t>68</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r:id="rId14" w:anchor="_Toc156846096" w:history="1">
            <w:r w:rsidRPr="008927A3">
              <w:rPr>
                <w:rStyle w:val="Hyperlink"/>
                <w:rFonts w:ascii="Times New Roman" w:hAnsi="Times New Roman" w:cs="Times New Roman"/>
                <w:noProof/>
                <w:sz w:val="24"/>
              </w:rPr>
              <w:t>Figure 20</w:t>
            </w:r>
            <w:r w:rsidRPr="008927A3">
              <w:rPr>
                <w:noProof/>
                <w:webHidden/>
                <w:sz w:val="24"/>
              </w:rPr>
              <w:tab/>
            </w:r>
            <w:r w:rsidRPr="008927A3">
              <w:rPr>
                <w:noProof/>
                <w:webHidden/>
                <w:sz w:val="24"/>
              </w:rPr>
              <w:fldChar w:fldCharType="begin"/>
            </w:r>
            <w:r w:rsidRPr="008927A3">
              <w:rPr>
                <w:noProof/>
                <w:webHidden/>
                <w:sz w:val="24"/>
              </w:rPr>
              <w:instrText xml:space="preserve"> PAGEREF _Toc156846096 \h </w:instrText>
            </w:r>
            <w:r w:rsidRPr="008927A3">
              <w:rPr>
                <w:noProof/>
                <w:webHidden/>
                <w:sz w:val="24"/>
              </w:rPr>
            </w:r>
            <w:r w:rsidRPr="008927A3">
              <w:rPr>
                <w:noProof/>
                <w:webHidden/>
                <w:sz w:val="24"/>
              </w:rPr>
              <w:fldChar w:fldCharType="separate"/>
            </w:r>
            <w:r w:rsidRPr="008927A3">
              <w:rPr>
                <w:noProof/>
                <w:webHidden/>
                <w:sz w:val="24"/>
              </w:rPr>
              <w:t>71</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97" w:history="1">
            <w:r w:rsidRPr="008927A3">
              <w:rPr>
                <w:rStyle w:val="Hyperlink"/>
                <w:rFonts w:ascii="Times New Roman" w:hAnsi="Times New Roman" w:cs="Times New Roman"/>
                <w:noProof/>
                <w:sz w:val="24"/>
              </w:rPr>
              <w:t>Figure 21</w:t>
            </w:r>
            <w:r w:rsidRPr="008927A3">
              <w:rPr>
                <w:noProof/>
                <w:webHidden/>
                <w:sz w:val="24"/>
              </w:rPr>
              <w:tab/>
            </w:r>
            <w:r w:rsidRPr="008927A3">
              <w:rPr>
                <w:noProof/>
                <w:webHidden/>
                <w:sz w:val="24"/>
              </w:rPr>
              <w:fldChar w:fldCharType="begin"/>
            </w:r>
            <w:r w:rsidRPr="008927A3">
              <w:rPr>
                <w:noProof/>
                <w:webHidden/>
                <w:sz w:val="24"/>
              </w:rPr>
              <w:instrText xml:space="preserve"> PAGEREF _Toc156846097 \h </w:instrText>
            </w:r>
            <w:r w:rsidRPr="008927A3">
              <w:rPr>
                <w:noProof/>
                <w:webHidden/>
                <w:sz w:val="24"/>
              </w:rPr>
            </w:r>
            <w:r w:rsidRPr="008927A3">
              <w:rPr>
                <w:noProof/>
                <w:webHidden/>
                <w:sz w:val="24"/>
              </w:rPr>
              <w:fldChar w:fldCharType="separate"/>
            </w:r>
            <w:r w:rsidRPr="008927A3">
              <w:rPr>
                <w:noProof/>
                <w:webHidden/>
                <w:sz w:val="24"/>
              </w:rPr>
              <w:t>73</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98" w:history="1">
            <w:r w:rsidRPr="008927A3">
              <w:rPr>
                <w:rStyle w:val="Hyperlink"/>
                <w:rFonts w:ascii="Times New Roman" w:hAnsi="Times New Roman" w:cs="Times New Roman"/>
                <w:noProof/>
                <w:sz w:val="24"/>
              </w:rPr>
              <w:t>Figure 22</w:t>
            </w:r>
            <w:r w:rsidRPr="008927A3">
              <w:rPr>
                <w:noProof/>
                <w:webHidden/>
                <w:sz w:val="24"/>
              </w:rPr>
              <w:tab/>
            </w:r>
            <w:r w:rsidRPr="008927A3">
              <w:rPr>
                <w:noProof/>
                <w:webHidden/>
                <w:sz w:val="24"/>
              </w:rPr>
              <w:fldChar w:fldCharType="begin"/>
            </w:r>
            <w:r w:rsidRPr="008927A3">
              <w:rPr>
                <w:noProof/>
                <w:webHidden/>
                <w:sz w:val="24"/>
              </w:rPr>
              <w:instrText xml:space="preserve"> PAGEREF _Toc156846098 \h </w:instrText>
            </w:r>
            <w:r w:rsidRPr="008927A3">
              <w:rPr>
                <w:noProof/>
                <w:webHidden/>
                <w:sz w:val="24"/>
              </w:rPr>
            </w:r>
            <w:r w:rsidRPr="008927A3">
              <w:rPr>
                <w:noProof/>
                <w:webHidden/>
                <w:sz w:val="24"/>
              </w:rPr>
              <w:fldChar w:fldCharType="separate"/>
            </w:r>
            <w:r w:rsidRPr="008927A3">
              <w:rPr>
                <w:noProof/>
                <w:webHidden/>
                <w:sz w:val="24"/>
              </w:rPr>
              <w:t>74</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w:anchor="_Toc156846099" w:history="1">
            <w:r w:rsidRPr="008927A3">
              <w:rPr>
                <w:rStyle w:val="Hyperlink"/>
                <w:rFonts w:ascii="Times New Roman" w:hAnsi="Times New Roman" w:cs="Times New Roman"/>
                <w:noProof/>
                <w:sz w:val="24"/>
              </w:rPr>
              <w:t>Figure 23</w:t>
            </w:r>
            <w:r w:rsidRPr="008927A3">
              <w:rPr>
                <w:noProof/>
                <w:webHidden/>
                <w:sz w:val="24"/>
              </w:rPr>
              <w:tab/>
            </w:r>
            <w:r w:rsidRPr="008927A3">
              <w:rPr>
                <w:noProof/>
                <w:webHidden/>
                <w:sz w:val="24"/>
              </w:rPr>
              <w:fldChar w:fldCharType="begin"/>
            </w:r>
            <w:r w:rsidRPr="008927A3">
              <w:rPr>
                <w:noProof/>
                <w:webHidden/>
                <w:sz w:val="24"/>
              </w:rPr>
              <w:instrText xml:space="preserve"> PAGEREF _Toc156846099 \h </w:instrText>
            </w:r>
            <w:r w:rsidRPr="008927A3">
              <w:rPr>
                <w:noProof/>
                <w:webHidden/>
                <w:sz w:val="24"/>
              </w:rPr>
            </w:r>
            <w:r w:rsidRPr="008927A3">
              <w:rPr>
                <w:noProof/>
                <w:webHidden/>
                <w:sz w:val="24"/>
              </w:rPr>
              <w:fldChar w:fldCharType="separate"/>
            </w:r>
            <w:r w:rsidRPr="008927A3">
              <w:rPr>
                <w:noProof/>
                <w:webHidden/>
                <w:sz w:val="24"/>
              </w:rPr>
              <w:t>79</w:t>
            </w:r>
            <w:r w:rsidRPr="008927A3">
              <w:rPr>
                <w:noProof/>
                <w:webHidden/>
                <w:sz w:val="24"/>
              </w:rPr>
              <w:fldChar w:fldCharType="end"/>
            </w:r>
          </w:hyperlink>
        </w:p>
        <w:p w:rsidR="008927A3" w:rsidRPr="008927A3" w:rsidRDefault="008927A3">
          <w:pPr>
            <w:pStyle w:val="TableofFigures"/>
            <w:tabs>
              <w:tab w:val="right" w:leader="dot" w:pos="9350"/>
            </w:tabs>
            <w:rPr>
              <w:rFonts w:eastAsiaTheme="minorEastAsia"/>
              <w:noProof/>
              <w:sz w:val="24"/>
            </w:rPr>
          </w:pPr>
          <w:hyperlink r:id="rId15" w:anchor="_Toc156846100" w:history="1">
            <w:r w:rsidRPr="008927A3">
              <w:rPr>
                <w:rStyle w:val="Hyperlink"/>
                <w:rFonts w:ascii="Times New Roman" w:hAnsi="Times New Roman" w:cs="Times New Roman"/>
                <w:noProof/>
                <w:sz w:val="24"/>
              </w:rPr>
              <w:t>Figure 24</w:t>
            </w:r>
            <w:r w:rsidRPr="008927A3">
              <w:rPr>
                <w:noProof/>
                <w:webHidden/>
                <w:sz w:val="24"/>
              </w:rPr>
              <w:tab/>
            </w:r>
            <w:r w:rsidRPr="008927A3">
              <w:rPr>
                <w:noProof/>
                <w:webHidden/>
                <w:sz w:val="24"/>
              </w:rPr>
              <w:fldChar w:fldCharType="begin"/>
            </w:r>
            <w:r w:rsidRPr="008927A3">
              <w:rPr>
                <w:noProof/>
                <w:webHidden/>
                <w:sz w:val="24"/>
              </w:rPr>
              <w:instrText xml:space="preserve"> PAGEREF _Toc156846100 \h </w:instrText>
            </w:r>
            <w:r w:rsidRPr="008927A3">
              <w:rPr>
                <w:noProof/>
                <w:webHidden/>
                <w:sz w:val="24"/>
              </w:rPr>
            </w:r>
            <w:r w:rsidRPr="008927A3">
              <w:rPr>
                <w:noProof/>
                <w:webHidden/>
                <w:sz w:val="24"/>
              </w:rPr>
              <w:fldChar w:fldCharType="separate"/>
            </w:r>
            <w:r w:rsidRPr="008927A3">
              <w:rPr>
                <w:noProof/>
                <w:webHidden/>
                <w:sz w:val="24"/>
              </w:rPr>
              <w:t>87</w:t>
            </w:r>
            <w:r w:rsidRPr="008927A3">
              <w:rPr>
                <w:noProof/>
                <w:webHidden/>
                <w:sz w:val="24"/>
              </w:rPr>
              <w:fldChar w:fldCharType="end"/>
            </w:r>
          </w:hyperlink>
        </w:p>
        <w:p w:rsidR="0006108C" w:rsidRPr="0006108C" w:rsidRDefault="0006108C" w:rsidP="0006108C">
          <w:pPr>
            <w:spacing w:line="276" w:lineRule="auto"/>
            <w:jc w:val="both"/>
            <w:rPr>
              <w:rFonts w:ascii="Times New Roman" w:hAnsi="Times New Roman" w:cs="Times New Roman"/>
              <w:sz w:val="24"/>
              <w:szCs w:val="24"/>
            </w:rPr>
          </w:pPr>
          <w:r w:rsidRPr="0006108C">
            <w:rPr>
              <w:rFonts w:ascii="Times New Roman" w:hAnsi="Times New Roman" w:cs="Times New Roman"/>
              <w:sz w:val="24"/>
              <w:szCs w:val="24"/>
            </w:rPr>
            <w:fldChar w:fldCharType="end"/>
          </w:r>
        </w:p>
        <w:p w:rsidR="0024740B" w:rsidRPr="0006108C" w:rsidRDefault="0024740B" w:rsidP="0006108C">
          <w:pPr>
            <w:spacing w:line="276" w:lineRule="auto"/>
            <w:jc w:val="both"/>
            <w:rPr>
              <w:rFonts w:ascii="Times New Roman" w:hAnsi="Times New Roman" w:cs="Times New Roman"/>
              <w:sz w:val="24"/>
              <w:szCs w:val="24"/>
            </w:rPr>
          </w:pPr>
        </w:p>
        <w:p w:rsidR="0024740B" w:rsidRPr="0006108C" w:rsidRDefault="0024740B" w:rsidP="0006108C">
          <w:pPr>
            <w:spacing w:line="276" w:lineRule="auto"/>
            <w:jc w:val="both"/>
            <w:rPr>
              <w:rFonts w:ascii="Times New Roman" w:hAnsi="Times New Roman" w:cs="Times New Roman"/>
              <w:sz w:val="24"/>
              <w:szCs w:val="24"/>
            </w:rPr>
          </w:pPr>
          <w:r w:rsidRPr="0006108C">
            <w:rPr>
              <w:rFonts w:ascii="Times New Roman" w:hAnsi="Times New Roman" w:cs="Times New Roman"/>
              <w:sz w:val="24"/>
              <w:szCs w:val="24"/>
            </w:rPr>
            <w:br w:type="page"/>
          </w:r>
        </w:p>
        <w:p w:rsidR="0024740B" w:rsidRPr="0006108C" w:rsidRDefault="0024740B" w:rsidP="0006108C">
          <w:pPr>
            <w:pStyle w:val="Heading1"/>
            <w:spacing w:line="360" w:lineRule="auto"/>
            <w:jc w:val="both"/>
            <w:rPr>
              <w:rFonts w:ascii="Times New Roman" w:hAnsi="Times New Roman" w:cs="Times New Roman"/>
              <w:b/>
              <w:color w:val="auto"/>
              <w:sz w:val="24"/>
            </w:rPr>
          </w:pPr>
          <w:bookmarkStart w:id="3" w:name="_Toc156845962"/>
          <w:r w:rsidRPr="0006108C">
            <w:rPr>
              <w:rFonts w:ascii="Times New Roman" w:hAnsi="Times New Roman" w:cs="Times New Roman"/>
              <w:b/>
              <w:color w:val="auto"/>
              <w:sz w:val="24"/>
            </w:rPr>
            <w:lastRenderedPageBreak/>
            <w:t>Abbreviations</w:t>
          </w:r>
          <w:bookmarkEnd w:id="3"/>
          <w:r w:rsidRPr="0006108C">
            <w:rPr>
              <w:rFonts w:ascii="Times New Roman" w:hAnsi="Times New Roman" w:cs="Times New Roman"/>
              <w:b/>
              <w:color w:val="auto"/>
              <w:sz w:val="24"/>
            </w:rPr>
            <w:t xml:space="preserve"> </w:t>
          </w:r>
        </w:p>
        <w:tbl>
          <w:tblPr>
            <w:tblStyle w:val="TableGrid"/>
            <w:tblW w:w="0" w:type="auto"/>
            <w:tblLook w:val="04A0" w:firstRow="1" w:lastRow="0" w:firstColumn="1" w:lastColumn="0" w:noHBand="0" w:noVBand="1"/>
          </w:tblPr>
          <w:tblGrid>
            <w:gridCol w:w="2695"/>
            <w:gridCol w:w="6655"/>
          </w:tblGrid>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BNP</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National Bank of Paris</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BSI</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 xml:space="preserve">Banco Santander International </w:t>
                </w:r>
              </w:p>
            </w:tc>
          </w:tr>
          <w:tr w:rsidR="0006108C" w:rsidRPr="0006108C" w:rsidTr="0006108C">
            <w:tc>
              <w:tcPr>
                <w:tcW w:w="269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CISL</w:t>
                </w:r>
              </w:p>
            </w:tc>
            <w:tc>
              <w:tcPr>
                <w:tcW w:w="665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Cambridge Institute for Sustainability Leadership</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CSRD</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 xml:space="preserve">Corporate Sustainability Reporting Directive </w:t>
                </w:r>
              </w:p>
            </w:tc>
          </w:tr>
          <w:tr w:rsidR="000C18B5" w:rsidRPr="0006108C" w:rsidTr="0006108C">
            <w:tc>
              <w:tcPr>
                <w:tcW w:w="2695" w:type="dxa"/>
              </w:tcPr>
              <w:p w:rsidR="0006108C"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C&amp;E Risk</w:t>
                </w:r>
                <w:r w:rsidR="0006108C" w:rsidRPr="0006108C">
                  <w:rPr>
                    <w:rFonts w:ascii="Times New Roman" w:hAnsi="Times New Roman" w:cs="Times New Roman"/>
                    <w:sz w:val="24"/>
                    <w:szCs w:val="24"/>
                  </w:rPr>
                  <w:t>s</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Climate and Environmental Risks</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 xml:space="preserve">CDP </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Carbon Disclosure Project</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CSR</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Corporate Social Responsibility</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DM</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Developed Markets</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DNSH</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Do No Significant Harm</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ESG</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Environmental, Social, and Corporate Governance</w:t>
                </w:r>
              </w:p>
            </w:tc>
          </w:tr>
          <w:tr w:rsidR="0006108C" w:rsidRPr="0006108C" w:rsidTr="0006108C">
            <w:tc>
              <w:tcPr>
                <w:tcW w:w="269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EU</w:t>
                </w:r>
              </w:p>
            </w:tc>
            <w:tc>
              <w:tcPr>
                <w:tcW w:w="665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European Union</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ESL</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Environmental, Social, and Corporate Leaders</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ESR</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 xml:space="preserve">Environmental and Social Risk </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color w:val="000000" w:themeColor="text1"/>
                    <w:sz w:val="24"/>
                    <w:szCs w:val="24"/>
                  </w:rPr>
                  <w:t>ETFs</w:t>
                </w:r>
              </w:p>
            </w:tc>
            <w:tc>
              <w:tcPr>
                <w:tcW w:w="6655" w:type="dxa"/>
              </w:tcPr>
              <w:p w:rsidR="000C18B5" w:rsidRPr="0006108C" w:rsidRDefault="000C18B5" w:rsidP="0006108C">
                <w:pPr>
                  <w:spacing w:line="360" w:lineRule="auto"/>
                  <w:jc w:val="both"/>
                  <w:rPr>
                    <w:rFonts w:ascii="Times New Roman" w:hAnsi="Times New Roman" w:cs="Times New Roman"/>
                    <w:color w:val="000000" w:themeColor="text1"/>
                    <w:sz w:val="24"/>
                    <w:szCs w:val="24"/>
                  </w:rPr>
                </w:pPr>
                <w:r w:rsidRPr="0006108C">
                  <w:rPr>
                    <w:rFonts w:ascii="Times New Roman" w:hAnsi="Times New Roman" w:cs="Times New Roman"/>
                    <w:color w:val="000000" w:themeColor="text1"/>
                    <w:sz w:val="24"/>
                    <w:szCs w:val="24"/>
                  </w:rPr>
                  <w:t xml:space="preserve">Exchange Traded Funds </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color w:val="000000" w:themeColor="text1"/>
                    <w:sz w:val="24"/>
                    <w:szCs w:val="24"/>
                  </w:rPr>
                </w:pPr>
                <w:r w:rsidRPr="0006108C">
                  <w:rPr>
                    <w:rFonts w:ascii="Times New Roman" w:hAnsi="Times New Roman" w:cs="Times New Roman"/>
                    <w:color w:val="000000" w:themeColor="text1"/>
                    <w:sz w:val="24"/>
                    <w:szCs w:val="24"/>
                  </w:rPr>
                  <w:t>GRI</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color w:val="000000" w:themeColor="text1"/>
                    <w:sz w:val="24"/>
                    <w:szCs w:val="24"/>
                  </w:rPr>
                  <w:t>Global Reporting Initiative</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color w:val="000000" w:themeColor="text1"/>
                    <w:sz w:val="24"/>
                    <w:szCs w:val="24"/>
                  </w:rPr>
                  <w:t xml:space="preserve">IIHC </w:t>
                </w:r>
              </w:p>
            </w:tc>
            <w:tc>
              <w:tcPr>
                <w:tcW w:w="6655" w:type="dxa"/>
              </w:tcPr>
              <w:p w:rsidR="000C18B5" w:rsidRPr="0006108C" w:rsidRDefault="000C18B5" w:rsidP="0006108C">
                <w:pPr>
                  <w:spacing w:line="360" w:lineRule="auto"/>
                  <w:jc w:val="both"/>
                  <w:rPr>
                    <w:rFonts w:ascii="Times New Roman" w:hAnsi="Times New Roman" w:cs="Times New Roman"/>
                    <w:color w:val="000000" w:themeColor="text1"/>
                    <w:sz w:val="24"/>
                    <w:szCs w:val="24"/>
                  </w:rPr>
                </w:pPr>
                <w:r w:rsidRPr="0006108C">
                  <w:rPr>
                    <w:rFonts w:ascii="Times New Roman" w:hAnsi="Times New Roman" w:cs="Times New Roman"/>
                    <w:color w:val="000000" w:themeColor="text1"/>
                    <w:sz w:val="24"/>
                    <w:szCs w:val="24"/>
                  </w:rPr>
                  <w:t>Investor Initiative on Hazardous Chemicals</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LSTA</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Loan Syndications and Trading Association</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color w:val="000000" w:themeColor="text1"/>
                    <w:sz w:val="24"/>
                    <w:szCs w:val="24"/>
                  </w:rPr>
                </w:pPr>
                <w:r w:rsidRPr="0006108C">
                  <w:rPr>
                    <w:rFonts w:ascii="Times New Roman" w:hAnsi="Times New Roman" w:cs="Times New Roman"/>
                    <w:color w:val="000000" w:themeColor="text1"/>
                    <w:sz w:val="24"/>
                    <w:szCs w:val="24"/>
                  </w:rPr>
                  <w:t>MBB</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color w:val="000000" w:themeColor="text1"/>
                    <w:sz w:val="24"/>
                    <w:szCs w:val="24"/>
                  </w:rPr>
                  <w:t xml:space="preserve">Management Board Banking </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NIM</w:t>
                </w:r>
              </w:p>
            </w:tc>
            <w:tc>
              <w:tcPr>
                <w:tcW w:w="665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 xml:space="preserve">Nordea Investment Management </w:t>
                </w:r>
              </w:p>
            </w:tc>
          </w:tr>
          <w:tr w:rsidR="000C18B5" w:rsidRPr="0006108C" w:rsidTr="0006108C">
            <w:tc>
              <w:tcPr>
                <w:tcW w:w="2695" w:type="dxa"/>
              </w:tcPr>
              <w:p w:rsidR="000C18B5" w:rsidRPr="0006108C" w:rsidRDefault="000C18B5" w:rsidP="0006108C">
                <w:pPr>
                  <w:spacing w:line="360" w:lineRule="auto"/>
                  <w:jc w:val="both"/>
                  <w:rPr>
                    <w:rFonts w:ascii="Times New Roman" w:hAnsi="Times New Roman" w:cs="Times New Roman"/>
                    <w:sz w:val="24"/>
                    <w:szCs w:val="24"/>
                  </w:rPr>
                </w:pPr>
                <w:r w:rsidRPr="0006108C">
                  <w:rPr>
                    <w:rFonts w:ascii="Times New Roman" w:hAnsi="Times New Roman" w:cs="Times New Roman"/>
                    <w:color w:val="000000" w:themeColor="text1"/>
                    <w:sz w:val="24"/>
                    <w:szCs w:val="24"/>
                  </w:rPr>
                  <w:t>NFRD</w:t>
                </w:r>
              </w:p>
            </w:tc>
            <w:tc>
              <w:tcPr>
                <w:tcW w:w="6655" w:type="dxa"/>
              </w:tcPr>
              <w:p w:rsidR="000C18B5" w:rsidRPr="0006108C" w:rsidRDefault="000C18B5" w:rsidP="0006108C">
                <w:pPr>
                  <w:spacing w:line="360" w:lineRule="auto"/>
                  <w:jc w:val="both"/>
                  <w:rPr>
                    <w:rFonts w:ascii="Times New Roman" w:hAnsi="Times New Roman" w:cs="Times New Roman"/>
                    <w:color w:val="000000" w:themeColor="text1"/>
                    <w:sz w:val="24"/>
                    <w:szCs w:val="24"/>
                  </w:rPr>
                </w:pPr>
                <w:r w:rsidRPr="0006108C">
                  <w:rPr>
                    <w:rFonts w:ascii="Times New Roman" w:hAnsi="Times New Roman" w:cs="Times New Roman"/>
                    <w:color w:val="000000" w:themeColor="text1"/>
                    <w:sz w:val="24"/>
                    <w:szCs w:val="24"/>
                  </w:rPr>
                  <w:t xml:space="preserve">Non-Financial Reporting Directive </w:t>
                </w:r>
              </w:p>
            </w:tc>
          </w:tr>
          <w:tr w:rsidR="000C18B5" w:rsidRPr="0006108C" w:rsidTr="0006108C">
            <w:tc>
              <w:tcPr>
                <w:tcW w:w="269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OECD</w:t>
                </w:r>
              </w:p>
            </w:tc>
            <w:tc>
              <w:tcPr>
                <w:tcW w:w="665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Organization for Economic Co-operation and Development</w:t>
                </w:r>
              </w:p>
            </w:tc>
          </w:tr>
          <w:tr w:rsidR="000C18B5" w:rsidRPr="0006108C" w:rsidTr="0006108C">
            <w:tc>
              <w:tcPr>
                <w:tcW w:w="269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PWC</w:t>
                </w:r>
              </w:p>
            </w:tc>
            <w:tc>
              <w:tcPr>
                <w:tcW w:w="665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PricewaterhouseCoopers</w:t>
                </w:r>
              </w:p>
            </w:tc>
          </w:tr>
          <w:tr w:rsidR="000C18B5" w:rsidRPr="0006108C" w:rsidTr="0006108C">
            <w:tc>
              <w:tcPr>
                <w:tcW w:w="269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PRI</w:t>
                </w:r>
              </w:p>
            </w:tc>
            <w:tc>
              <w:tcPr>
                <w:tcW w:w="665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Principles for Responsible Investment</w:t>
                </w:r>
              </w:p>
            </w:tc>
          </w:tr>
          <w:tr w:rsidR="0006108C" w:rsidRPr="0006108C" w:rsidTr="0006108C">
            <w:tc>
              <w:tcPr>
                <w:tcW w:w="269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RAS</w:t>
                </w:r>
              </w:p>
            </w:tc>
            <w:tc>
              <w:tcPr>
                <w:tcW w:w="665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Risk Appetite Statement</w:t>
                </w:r>
              </w:p>
            </w:tc>
          </w:tr>
          <w:tr w:rsidR="000C18B5" w:rsidRPr="0006108C" w:rsidTr="0006108C">
            <w:tc>
              <w:tcPr>
                <w:tcW w:w="269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SRI</w:t>
                </w:r>
              </w:p>
            </w:tc>
            <w:tc>
              <w:tcPr>
                <w:tcW w:w="665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Socially Responsible Investment</w:t>
                </w:r>
              </w:p>
            </w:tc>
          </w:tr>
          <w:tr w:rsidR="000C18B5" w:rsidRPr="0006108C" w:rsidTr="0006108C">
            <w:tc>
              <w:tcPr>
                <w:tcW w:w="269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SGR</w:t>
                </w:r>
              </w:p>
            </w:tc>
            <w:tc>
              <w:tcPr>
                <w:tcW w:w="665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Sustainable Growth Rate</w:t>
                </w:r>
              </w:p>
            </w:tc>
          </w:tr>
          <w:tr w:rsidR="000C18B5" w:rsidRPr="0006108C" w:rsidTr="0006108C">
            <w:tc>
              <w:tcPr>
                <w:tcW w:w="269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SFDR</w:t>
                </w:r>
              </w:p>
            </w:tc>
            <w:tc>
              <w:tcPr>
                <w:tcW w:w="665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Sustainable Finance Disclosure Regulation</w:t>
                </w:r>
              </w:p>
            </w:tc>
          </w:tr>
          <w:tr w:rsidR="000C18B5" w:rsidRPr="0006108C" w:rsidTr="0006108C">
            <w:tc>
              <w:tcPr>
                <w:tcW w:w="269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SASB</w:t>
                </w:r>
              </w:p>
            </w:tc>
            <w:tc>
              <w:tcPr>
                <w:tcW w:w="6655" w:type="dxa"/>
              </w:tcPr>
              <w:p w:rsidR="000C18B5"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Sustainability Accounting Standards Board</w:t>
                </w:r>
              </w:p>
            </w:tc>
          </w:tr>
          <w:tr w:rsidR="0006108C" w:rsidRPr="0006108C" w:rsidTr="0006108C">
            <w:tc>
              <w:tcPr>
                <w:tcW w:w="269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SDGs</w:t>
                </w:r>
              </w:p>
            </w:tc>
            <w:tc>
              <w:tcPr>
                <w:tcW w:w="665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Sustainable Development Goals</w:t>
                </w:r>
              </w:p>
            </w:tc>
          </w:tr>
          <w:tr w:rsidR="0006108C" w:rsidRPr="0006108C" w:rsidTr="0006108C">
            <w:tc>
              <w:tcPr>
                <w:tcW w:w="269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lastRenderedPageBreak/>
                  <w:t>TCFD</w:t>
                </w:r>
              </w:p>
            </w:tc>
            <w:tc>
              <w:tcPr>
                <w:tcW w:w="665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 xml:space="preserve">Task Force on Climate-related Financial Disclosures </w:t>
                </w:r>
              </w:p>
            </w:tc>
          </w:tr>
          <w:tr w:rsidR="0006108C" w:rsidRPr="0006108C" w:rsidTr="0006108C">
            <w:tc>
              <w:tcPr>
                <w:tcW w:w="2695" w:type="dxa"/>
              </w:tcPr>
              <w:p w:rsidR="0006108C" w:rsidRPr="0006108C" w:rsidRDefault="0006108C" w:rsidP="0006108C">
                <w:pPr>
                  <w:spacing w:line="360" w:lineRule="auto"/>
                  <w:jc w:val="both"/>
                  <w:rPr>
                    <w:rFonts w:ascii="Times New Roman" w:hAnsi="Times New Roman" w:cs="Times New Roman"/>
                    <w:color w:val="000000" w:themeColor="text1"/>
                    <w:sz w:val="24"/>
                    <w:szCs w:val="24"/>
                  </w:rPr>
                </w:pPr>
                <w:r w:rsidRPr="0006108C">
                  <w:rPr>
                    <w:rFonts w:ascii="Times New Roman" w:hAnsi="Times New Roman" w:cs="Times New Roman"/>
                    <w:color w:val="000000" w:themeColor="text1"/>
                    <w:sz w:val="24"/>
                    <w:szCs w:val="24"/>
                  </w:rPr>
                  <w:t>UN</w:t>
                </w:r>
              </w:p>
            </w:tc>
            <w:tc>
              <w:tcPr>
                <w:tcW w:w="665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United Nations</w:t>
                </w:r>
              </w:p>
            </w:tc>
          </w:tr>
          <w:tr w:rsidR="0006108C" w:rsidRPr="0006108C" w:rsidTr="0006108C">
            <w:tc>
              <w:tcPr>
                <w:tcW w:w="269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WB</w:t>
                </w:r>
              </w:p>
            </w:tc>
            <w:tc>
              <w:tcPr>
                <w:tcW w:w="665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sz w:val="24"/>
                    <w:szCs w:val="24"/>
                  </w:rPr>
                  <w:t>World Bank</w:t>
                </w:r>
              </w:p>
            </w:tc>
          </w:tr>
          <w:tr w:rsidR="0006108C" w:rsidRPr="0006108C" w:rsidTr="0006108C">
            <w:tc>
              <w:tcPr>
                <w:tcW w:w="2695" w:type="dxa"/>
              </w:tcPr>
              <w:p w:rsidR="0006108C" w:rsidRPr="0006108C" w:rsidRDefault="0006108C" w:rsidP="0006108C">
                <w:pPr>
                  <w:spacing w:line="360" w:lineRule="auto"/>
                  <w:jc w:val="both"/>
                  <w:rPr>
                    <w:rFonts w:ascii="Times New Roman" w:hAnsi="Times New Roman" w:cs="Times New Roman"/>
                    <w:color w:val="000000" w:themeColor="text1"/>
                    <w:sz w:val="24"/>
                    <w:szCs w:val="24"/>
                  </w:rPr>
                </w:pPr>
                <w:r w:rsidRPr="0006108C">
                  <w:rPr>
                    <w:rFonts w:ascii="Times New Roman" w:hAnsi="Times New Roman" w:cs="Times New Roman"/>
                    <w:color w:val="000000" w:themeColor="text1"/>
                    <w:sz w:val="24"/>
                    <w:szCs w:val="24"/>
                  </w:rPr>
                  <w:t>WEF</w:t>
                </w:r>
              </w:p>
            </w:tc>
            <w:tc>
              <w:tcPr>
                <w:tcW w:w="6655" w:type="dxa"/>
              </w:tcPr>
              <w:p w:rsidR="0006108C" w:rsidRPr="0006108C" w:rsidRDefault="0006108C" w:rsidP="0006108C">
                <w:pPr>
                  <w:spacing w:line="360" w:lineRule="auto"/>
                  <w:jc w:val="both"/>
                  <w:rPr>
                    <w:rFonts w:ascii="Times New Roman" w:hAnsi="Times New Roman" w:cs="Times New Roman"/>
                    <w:sz w:val="24"/>
                    <w:szCs w:val="24"/>
                  </w:rPr>
                </w:pPr>
                <w:r w:rsidRPr="0006108C">
                  <w:rPr>
                    <w:rFonts w:ascii="Times New Roman" w:hAnsi="Times New Roman" w:cs="Times New Roman"/>
                    <w:color w:val="000000" w:themeColor="text1"/>
                    <w:sz w:val="24"/>
                    <w:szCs w:val="24"/>
                  </w:rPr>
                  <w:t>World Economic Forum</w:t>
                </w:r>
              </w:p>
            </w:tc>
          </w:tr>
        </w:tbl>
        <w:p w:rsidR="008A16E9" w:rsidRPr="00493216" w:rsidRDefault="0024740B" w:rsidP="0006108C">
          <w:pPr>
            <w:spacing w:line="360" w:lineRule="auto"/>
            <w:jc w:val="both"/>
          </w:pPr>
          <w:r w:rsidRPr="0006108C">
            <w:rPr>
              <w:rFonts w:ascii="Times New Roman" w:hAnsi="Times New Roman" w:cs="Times New Roman"/>
              <w:sz w:val="24"/>
              <w:szCs w:val="24"/>
            </w:rPr>
            <w:br w:type="page"/>
          </w:r>
        </w:p>
      </w:sdtContent>
    </w:sdt>
    <w:p w:rsidR="006B2CF1" w:rsidRPr="00B320BE" w:rsidRDefault="006B2CF1" w:rsidP="00B320BE">
      <w:pPr>
        <w:pStyle w:val="Heading1"/>
        <w:spacing w:line="360" w:lineRule="auto"/>
        <w:jc w:val="both"/>
        <w:rPr>
          <w:rFonts w:ascii="Times New Roman" w:hAnsi="Times New Roman" w:cs="Times New Roman"/>
          <w:b/>
          <w:color w:val="000000" w:themeColor="text1"/>
          <w:sz w:val="24"/>
          <w:szCs w:val="24"/>
        </w:rPr>
      </w:pPr>
      <w:bookmarkStart w:id="4" w:name="_Toc156676248"/>
      <w:bookmarkStart w:id="5" w:name="_Toc156845963"/>
      <w:r w:rsidRPr="00B320BE">
        <w:rPr>
          <w:rFonts w:ascii="Times New Roman" w:hAnsi="Times New Roman" w:cs="Times New Roman"/>
          <w:b/>
          <w:color w:val="000000" w:themeColor="text1"/>
          <w:sz w:val="24"/>
          <w:szCs w:val="24"/>
        </w:rPr>
        <w:lastRenderedPageBreak/>
        <w:t>Introduction</w:t>
      </w:r>
      <w:bookmarkEnd w:id="4"/>
      <w:bookmarkEnd w:id="5"/>
    </w:p>
    <w:p w:rsidR="0020758F" w:rsidRPr="00B320BE" w:rsidRDefault="00B51E4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In this period when sustainability is no longer optional but a requirement of the times Environmental, Social and Governance scores have become instrumental in shaping financial spaces. ESG integration into financial investment strategies is more than just a trend, especially in Europe – it’s about changing </w:t>
      </w:r>
      <w:r w:rsidR="00623495" w:rsidRPr="00B320BE">
        <w:rPr>
          <w:rFonts w:ascii="Times New Roman" w:hAnsi="Times New Roman" w:cs="Times New Roman"/>
          <w:color w:val="000000" w:themeColor="text1"/>
          <w:sz w:val="24"/>
          <w:szCs w:val="24"/>
        </w:rPr>
        <w:t>how</w:t>
      </w:r>
      <w:r w:rsidRPr="00B320BE">
        <w:rPr>
          <w:rFonts w:ascii="Times New Roman" w:hAnsi="Times New Roman" w:cs="Times New Roman"/>
          <w:color w:val="000000" w:themeColor="text1"/>
          <w:sz w:val="24"/>
          <w:szCs w:val="24"/>
        </w:rPr>
        <w:t xml:space="preserve"> business performance metrics and management are counted. This paper discusses the complicated dynamics of managing ESG performance through financial investment in Europe. It seeks to </w:t>
      </w:r>
      <w:r w:rsidR="00E8063C" w:rsidRPr="00B320BE">
        <w:rPr>
          <w:rFonts w:ascii="Times New Roman" w:hAnsi="Times New Roman" w:cs="Times New Roman"/>
          <w:color w:val="000000" w:themeColor="text1"/>
          <w:sz w:val="24"/>
          <w:szCs w:val="24"/>
        </w:rPr>
        <w:t>analyze</w:t>
      </w:r>
      <w:r w:rsidRPr="00B320BE">
        <w:rPr>
          <w:rFonts w:ascii="Times New Roman" w:hAnsi="Times New Roman" w:cs="Times New Roman"/>
          <w:color w:val="000000" w:themeColor="text1"/>
          <w:sz w:val="24"/>
          <w:szCs w:val="24"/>
        </w:rPr>
        <w:t xml:space="preserve"> and comprehend the relationships between ESG metrics, how they affect financial health and </w:t>
      </w:r>
      <w:r w:rsidR="00E8063C"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strategic decisions of top banking organizations in Europe. This research aims to offer a thorough and informed analysis based on careful consideration of current practices, regulatory environments, and the changing dynamics surrounding ESG standards in an attempt to influence future investment decisions as well </w:t>
      </w:r>
      <w:r w:rsidR="00E8063C" w:rsidRPr="00B320BE">
        <w:rPr>
          <w:rFonts w:ascii="Times New Roman" w:hAnsi="Times New Roman" w:cs="Times New Roman"/>
          <w:color w:val="000000" w:themeColor="text1"/>
          <w:sz w:val="24"/>
          <w:szCs w:val="24"/>
        </w:rPr>
        <w:t xml:space="preserve">as </w:t>
      </w:r>
      <w:r w:rsidRPr="00B320BE">
        <w:rPr>
          <w:rFonts w:ascii="Times New Roman" w:hAnsi="Times New Roman" w:cs="Times New Roman"/>
          <w:color w:val="000000" w:themeColor="text1"/>
          <w:sz w:val="24"/>
          <w:szCs w:val="24"/>
        </w:rPr>
        <w:t xml:space="preserve">employee policy choices within </w:t>
      </w:r>
      <w:r w:rsidR="00E8063C"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European financial sector.</w:t>
      </w:r>
    </w:p>
    <w:p w:rsidR="00032C19" w:rsidRPr="00B320BE" w:rsidRDefault="00032C19" w:rsidP="00B320BE">
      <w:pPr>
        <w:spacing w:line="360" w:lineRule="auto"/>
        <w:jc w:val="both"/>
        <w:rPr>
          <w:rFonts w:ascii="Times New Roman" w:hAnsi="Times New Roman" w:cs="Times New Roman"/>
          <w:color w:val="000000" w:themeColor="text1"/>
          <w:sz w:val="24"/>
          <w:szCs w:val="24"/>
        </w:rPr>
      </w:pPr>
    </w:p>
    <w:p w:rsidR="006B2CF1" w:rsidRPr="00B320BE" w:rsidRDefault="00E8063C" w:rsidP="00B320BE">
      <w:pPr>
        <w:pStyle w:val="Heading1"/>
        <w:spacing w:line="360" w:lineRule="auto"/>
        <w:jc w:val="both"/>
        <w:rPr>
          <w:rFonts w:ascii="Times New Roman" w:hAnsi="Times New Roman" w:cs="Times New Roman"/>
          <w:b/>
          <w:color w:val="000000" w:themeColor="text1"/>
          <w:sz w:val="24"/>
          <w:szCs w:val="24"/>
        </w:rPr>
      </w:pPr>
      <w:bookmarkStart w:id="6" w:name="_Toc156676249"/>
      <w:bookmarkStart w:id="7" w:name="_Toc156845964"/>
      <w:r w:rsidRPr="00B320BE">
        <w:rPr>
          <w:rFonts w:ascii="Times New Roman" w:hAnsi="Times New Roman" w:cs="Times New Roman"/>
          <w:b/>
          <w:color w:val="000000" w:themeColor="text1"/>
          <w:sz w:val="24"/>
          <w:szCs w:val="24"/>
        </w:rPr>
        <w:t>The goal</w:t>
      </w:r>
      <w:r w:rsidR="005621F6" w:rsidRPr="00B320BE">
        <w:rPr>
          <w:rFonts w:ascii="Times New Roman" w:hAnsi="Times New Roman" w:cs="Times New Roman"/>
          <w:b/>
          <w:color w:val="000000" w:themeColor="text1"/>
          <w:sz w:val="24"/>
          <w:szCs w:val="24"/>
        </w:rPr>
        <w:t xml:space="preserve"> of the Paper</w:t>
      </w:r>
      <w:bookmarkEnd w:id="6"/>
      <w:bookmarkEnd w:id="7"/>
      <w:r w:rsidR="005621F6" w:rsidRPr="00B320BE">
        <w:rPr>
          <w:rFonts w:ascii="Times New Roman" w:hAnsi="Times New Roman" w:cs="Times New Roman"/>
          <w:b/>
          <w:color w:val="000000" w:themeColor="text1"/>
          <w:sz w:val="24"/>
          <w:szCs w:val="24"/>
        </w:rPr>
        <w:t xml:space="preserve"> </w:t>
      </w:r>
    </w:p>
    <w:p w:rsidR="00FB737F" w:rsidRPr="00B320BE" w:rsidRDefault="00FB737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This research </w:t>
      </w:r>
      <w:r w:rsidR="00623495" w:rsidRPr="00B320BE">
        <w:rPr>
          <w:rFonts w:ascii="Times New Roman" w:hAnsi="Times New Roman" w:cs="Times New Roman"/>
          <w:color w:val="000000" w:themeColor="text1"/>
          <w:sz w:val="24"/>
          <w:szCs w:val="24"/>
        </w:rPr>
        <w:t>addresses the knowledge gap</w:t>
      </w:r>
      <w:r w:rsidRPr="00B320BE">
        <w:rPr>
          <w:rFonts w:ascii="Times New Roman" w:hAnsi="Times New Roman" w:cs="Times New Roman"/>
          <w:color w:val="000000" w:themeColor="text1"/>
          <w:sz w:val="24"/>
          <w:szCs w:val="24"/>
        </w:rPr>
        <w:t xml:space="preserve"> in this field, especially where ESG performance management and financial investment practices are highly nuanced yet touched on briefly when discussing European institutions. The ultimate aim in the process is to uncover and solve the complicated mechanisms underlying relations between ESG indicators, as well as their connection with financial performa</w:t>
      </w:r>
      <w:r w:rsidR="00B320BE">
        <w:rPr>
          <w:rFonts w:ascii="Times New Roman" w:hAnsi="Times New Roman" w:cs="Times New Roman"/>
          <w:color w:val="000000" w:themeColor="text1"/>
          <w:sz w:val="24"/>
          <w:szCs w:val="24"/>
        </w:rPr>
        <w:t xml:space="preserve">nce focusing on retail banking. </w:t>
      </w:r>
      <w:r w:rsidRPr="00B320BE">
        <w:rPr>
          <w:rFonts w:ascii="Times New Roman" w:hAnsi="Times New Roman" w:cs="Times New Roman"/>
          <w:color w:val="000000" w:themeColor="text1"/>
          <w:sz w:val="24"/>
          <w:szCs w:val="24"/>
        </w:rPr>
        <w:t>Leveraging a rich, well-developed literature review, the paper seeks to provide an in‐depth analysis of historical settings and frameworks that influence regulating ESG implementation. This foundation will enable an extensive and sophisticated SWOT analysis, unveiling the strengths, weaknesses, opportunities</w:t>
      </w:r>
      <w:r w:rsidR="00623495" w:rsidRPr="00B320BE">
        <w:rPr>
          <w:rFonts w:ascii="Times New Roman" w:hAnsi="Times New Roman" w:cs="Times New Roman"/>
          <w:color w:val="000000" w:themeColor="text1"/>
          <w:sz w:val="24"/>
          <w:szCs w:val="24"/>
        </w:rPr>
        <w:t>, and</w:t>
      </w:r>
      <w:r w:rsidRPr="00B320BE">
        <w:rPr>
          <w:rFonts w:ascii="Times New Roman" w:hAnsi="Times New Roman" w:cs="Times New Roman"/>
          <w:color w:val="000000" w:themeColor="text1"/>
          <w:sz w:val="24"/>
          <w:szCs w:val="24"/>
        </w:rPr>
        <w:t xml:space="preserve"> threats in both </w:t>
      </w:r>
      <w:r w:rsidR="00E8063C" w:rsidRPr="00B320BE">
        <w:rPr>
          <w:rFonts w:ascii="Times New Roman" w:hAnsi="Times New Roman" w:cs="Times New Roman"/>
          <w:color w:val="000000" w:themeColor="text1"/>
          <w:sz w:val="24"/>
          <w:szCs w:val="24"/>
        </w:rPr>
        <w:t>ESG's</w:t>
      </w:r>
      <w:r w:rsidRPr="00B320BE">
        <w:rPr>
          <w:rFonts w:ascii="Times New Roman" w:hAnsi="Times New Roman" w:cs="Times New Roman"/>
          <w:color w:val="000000" w:themeColor="text1"/>
          <w:sz w:val="24"/>
          <w:szCs w:val="24"/>
        </w:rPr>
        <w:t xml:space="preserve"> landscape of performance. In addition, the research aims to assimilate current updates in ESG reporting and sustainable investing practices into its analyses for relevancy and timeliness.</w:t>
      </w:r>
    </w:p>
    <w:p w:rsidR="006B2CF1" w:rsidRPr="00B320BE" w:rsidRDefault="00FB737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In essence, this paper aims to offer a complex and current study of the dynamic interplay between ESG factors and financial results in European retail banking. The results are expected to advance knowledge not only in a scholarly sense but also provide timely awareness and understanding for investors, financial institutions as well as policymakers involved with the emerging field of </w:t>
      </w:r>
      <w:r w:rsidR="00E8063C" w:rsidRPr="00B320BE">
        <w:rPr>
          <w:rFonts w:ascii="Times New Roman" w:hAnsi="Times New Roman" w:cs="Times New Roman"/>
          <w:color w:val="000000" w:themeColor="text1"/>
          <w:sz w:val="24"/>
          <w:szCs w:val="24"/>
        </w:rPr>
        <w:t>sustainability finance</w:t>
      </w:r>
      <w:r w:rsidRPr="00B320BE">
        <w:rPr>
          <w:rFonts w:ascii="Times New Roman" w:hAnsi="Times New Roman" w:cs="Times New Roman"/>
          <w:color w:val="000000" w:themeColor="text1"/>
          <w:sz w:val="24"/>
          <w:szCs w:val="24"/>
        </w:rPr>
        <w:t>.</w:t>
      </w:r>
    </w:p>
    <w:p w:rsidR="006B2CF1" w:rsidRPr="00B320BE" w:rsidRDefault="006B2CF1" w:rsidP="00B320BE">
      <w:pPr>
        <w:spacing w:line="360" w:lineRule="auto"/>
        <w:jc w:val="both"/>
        <w:rPr>
          <w:rFonts w:ascii="Times New Roman" w:hAnsi="Times New Roman" w:cs="Times New Roman"/>
          <w:color w:val="000000" w:themeColor="text1"/>
          <w:sz w:val="24"/>
          <w:szCs w:val="24"/>
        </w:rPr>
      </w:pPr>
    </w:p>
    <w:p w:rsidR="006B2CF1" w:rsidRPr="00B320BE" w:rsidRDefault="005621F6" w:rsidP="00B320BE">
      <w:pPr>
        <w:pStyle w:val="Heading1"/>
        <w:spacing w:line="360" w:lineRule="auto"/>
        <w:jc w:val="both"/>
        <w:rPr>
          <w:rFonts w:ascii="Times New Roman" w:hAnsi="Times New Roman" w:cs="Times New Roman"/>
          <w:b/>
          <w:color w:val="000000" w:themeColor="text1"/>
          <w:sz w:val="24"/>
          <w:szCs w:val="24"/>
        </w:rPr>
      </w:pPr>
      <w:bookmarkStart w:id="8" w:name="_Toc156676250"/>
      <w:bookmarkStart w:id="9" w:name="_Toc156845965"/>
      <w:r w:rsidRPr="00B320BE">
        <w:rPr>
          <w:rFonts w:ascii="Times New Roman" w:hAnsi="Times New Roman" w:cs="Times New Roman"/>
          <w:b/>
          <w:color w:val="000000" w:themeColor="text1"/>
          <w:sz w:val="24"/>
          <w:szCs w:val="24"/>
        </w:rPr>
        <w:t>Background</w:t>
      </w:r>
      <w:bookmarkEnd w:id="8"/>
      <w:bookmarkEnd w:id="9"/>
      <w:r w:rsidRPr="00B320BE">
        <w:rPr>
          <w:rFonts w:ascii="Times New Roman" w:hAnsi="Times New Roman" w:cs="Times New Roman"/>
          <w:b/>
          <w:color w:val="000000" w:themeColor="text1"/>
          <w:sz w:val="24"/>
          <w:szCs w:val="24"/>
        </w:rPr>
        <w:t xml:space="preserve"> </w:t>
      </w:r>
    </w:p>
    <w:p w:rsidR="006B2CF1" w:rsidRPr="00B320BE" w:rsidRDefault="00B51E4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Environmental, Social, and Governance (ESG) criteria have emerged as central aspects of investor relations in the recent past; they reflect a willingness to adopt sustainable and responsible business models. In Europe, this trend is especially noticeable with ESG being more and more incorporated into the essence of financial institutions. This transformation is primarily taking place in the European banking sector, a crucial part of </w:t>
      </w:r>
      <w:r w:rsidR="00E8063C"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global financial system. With greater demand for transparency and accountability by investors as well stakeholders, banks are forced to shave their operations reductions according</w:t>
      </w:r>
      <w:r w:rsidR="00E8063C" w:rsidRPr="00B320BE">
        <w:rPr>
          <w:rFonts w:ascii="Times New Roman" w:hAnsi="Times New Roman" w:cs="Times New Roman"/>
          <w:color w:val="000000" w:themeColor="text1"/>
          <w:sz w:val="24"/>
          <w:szCs w:val="24"/>
        </w:rPr>
        <w:t xml:space="preserve"> to</w:t>
      </w:r>
      <w:r w:rsidRPr="00B320BE">
        <w:rPr>
          <w:rFonts w:ascii="Times New Roman" w:hAnsi="Times New Roman" w:cs="Times New Roman"/>
          <w:color w:val="000000" w:themeColor="text1"/>
          <w:sz w:val="24"/>
          <w:szCs w:val="24"/>
        </w:rPr>
        <w:t xml:space="preserve"> little ways that revolve around the ESG standards together with portfolios.</w:t>
      </w:r>
    </w:p>
    <w:p w:rsidR="006B2CF1" w:rsidRPr="00B320BE" w:rsidRDefault="00B51E4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European financial market has been historically a melting pot for sustainable investment practices. With the introduction of </w:t>
      </w:r>
      <w:r w:rsidR="00E8063C"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European Union’s sustainable finance action plan and regulatory framework such as </w:t>
      </w:r>
      <w:r w:rsidR="00E8063C"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Sustainable Finance Disclosure Regulation (SFDR), it can be said that this region has set standards for ESG integration. These regulatory landscapes not only encouraged but also required investment strategies </w:t>
      </w:r>
      <w:r w:rsidR="00E8063C" w:rsidRPr="00B320BE">
        <w:rPr>
          <w:rFonts w:ascii="Times New Roman" w:hAnsi="Times New Roman" w:cs="Times New Roman"/>
          <w:color w:val="000000" w:themeColor="text1"/>
          <w:sz w:val="24"/>
          <w:szCs w:val="24"/>
        </w:rPr>
        <w:t xml:space="preserve">to </w:t>
      </w:r>
      <w:r w:rsidRPr="00B320BE">
        <w:rPr>
          <w:rFonts w:ascii="Times New Roman" w:hAnsi="Times New Roman" w:cs="Times New Roman"/>
          <w:color w:val="000000" w:themeColor="text1"/>
          <w:sz w:val="24"/>
          <w:szCs w:val="24"/>
        </w:rPr>
        <w:t xml:space="preserve">shift toward value on sustainable growth and long-term, rather than </w:t>
      </w:r>
      <w:r w:rsidR="00E8063C" w:rsidRPr="00B320BE">
        <w:rPr>
          <w:rFonts w:ascii="Times New Roman" w:hAnsi="Times New Roman" w:cs="Times New Roman"/>
          <w:color w:val="000000" w:themeColor="text1"/>
          <w:sz w:val="24"/>
          <w:szCs w:val="24"/>
        </w:rPr>
        <w:t>short-term</w:t>
      </w:r>
      <w:r w:rsidRPr="00B320BE">
        <w:rPr>
          <w:rFonts w:ascii="Times New Roman" w:hAnsi="Times New Roman" w:cs="Times New Roman"/>
          <w:color w:val="000000" w:themeColor="text1"/>
          <w:sz w:val="24"/>
          <w:szCs w:val="24"/>
        </w:rPr>
        <w:t xml:space="preserve"> values</w:t>
      </w:r>
      <w:r w:rsidR="006B2CF1" w:rsidRPr="00B320BE">
        <w:rPr>
          <w:rFonts w:ascii="Times New Roman" w:hAnsi="Times New Roman" w:cs="Times New Roman"/>
          <w:color w:val="000000" w:themeColor="text1"/>
          <w:sz w:val="24"/>
          <w:szCs w:val="24"/>
        </w:rPr>
        <w:t>.</w:t>
      </w:r>
    </w:p>
    <w:p w:rsidR="006B2CF1" w:rsidRPr="00B320BE" w:rsidRDefault="006B2CF1" w:rsidP="00B320BE">
      <w:pPr>
        <w:spacing w:line="360" w:lineRule="auto"/>
        <w:jc w:val="both"/>
        <w:rPr>
          <w:rFonts w:ascii="Times New Roman" w:hAnsi="Times New Roman" w:cs="Times New Roman"/>
          <w:color w:val="000000" w:themeColor="text1"/>
          <w:sz w:val="24"/>
          <w:szCs w:val="24"/>
        </w:rPr>
      </w:pPr>
    </w:p>
    <w:p w:rsidR="006B2CF1" w:rsidRPr="00B320BE" w:rsidRDefault="005621F6" w:rsidP="00B320BE">
      <w:pPr>
        <w:pStyle w:val="Heading1"/>
        <w:spacing w:line="360" w:lineRule="auto"/>
        <w:jc w:val="both"/>
        <w:rPr>
          <w:rFonts w:ascii="Times New Roman" w:hAnsi="Times New Roman" w:cs="Times New Roman"/>
          <w:b/>
          <w:color w:val="000000" w:themeColor="text1"/>
          <w:sz w:val="24"/>
          <w:szCs w:val="24"/>
        </w:rPr>
      </w:pPr>
      <w:bookmarkStart w:id="10" w:name="_Toc156676251"/>
      <w:bookmarkStart w:id="11" w:name="_Toc156845966"/>
      <w:r w:rsidRPr="00B320BE">
        <w:rPr>
          <w:rFonts w:ascii="Times New Roman" w:hAnsi="Times New Roman" w:cs="Times New Roman"/>
          <w:b/>
          <w:color w:val="000000" w:themeColor="text1"/>
          <w:sz w:val="24"/>
          <w:szCs w:val="24"/>
        </w:rPr>
        <w:t>Previous Works</w:t>
      </w:r>
      <w:bookmarkEnd w:id="10"/>
      <w:bookmarkEnd w:id="11"/>
      <w:r w:rsidRPr="00B320BE">
        <w:rPr>
          <w:rFonts w:ascii="Times New Roman" w:hAnsi="Times New Roman" w:cs="Times New Roman"/>
          <w:b/>
          <w:color w:val="000000" w:themeColor="text1"/>
          <w:sz w:val="24"/>
          <w:szCs w:val="24"/>
        </w:rPr>
        <w:t xml:space="preserve"> </w:t>
      </w:r>
    </w:p>
    <w:p w:rsidR="00F63694" w:rsidRPr="00B320BE" w:rsidRDefault="00B51E4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 variety of literature supports the growing importance </w:t>
      </w:r>
      <w:r w:rsidR="00E8063C" w:rsidRPr="00B320BE">
        <w:rPr>
          <w:rFonts w:ascii="Times New Roman" w:hAnsi="Times New Roman" w:cs="Times New Roman"/>
          <w:color w:val="000000" w:themeColor="text1"/>
          <w:sz w:val="24"/>
          <w:szCs w:val="24"/>
        </w:rPr>
        <w:t>of</w:t>
      </w:r>
      <w:r w:rsidRPr="00B320BE">
        <w:rPr>
          <w:rFonts w:ascii="Times New Roman" w:hAnsi="Times New Roman" w:cs="Times New Roman"/>
          <w:color w:val="000000" w:themeColor="text1"/>
          <w:sz w:val="24"/>
          <w:szCs w:val="24"/>
        </w:rPr>
        <w:t xml:space="preserve"> financial decision-making. Research on the connection between ESG performance and financial returns has mostly concentrated </w:t>
      </w:r>
      <w:r w:rsidR="00E8063C" w:rsidRPr="00B320BE">
        <w:rPr>
          <w:rFonts w:ascii="Times New Roman" w:hAnsi="Times New Roman" w:cs="Times New Roman"/>
          <w:color w:val="000000" w:themeColor="text1"/>
          <w:sz w:val="24"/>
          <w:szCs w:val="24"/>
        </w:rPr>
        <w:t>on</w:t>
      </w:r>
      <w:r w:rsidRPr="00B320BE">
        <w:rPr>
          <w:rFonts w:ascii="Times New Roman" w:hAnsi="Times New Roman" w:cs="Times New Roman"/>
          <w:color w:val="000000" w:themeColor="text1"/>
          <w:sz w:val="24"/>
          <w:szCs w:val="24"/>
        </w:rPr>
        <w:t xml:space="preserve"> that aspect, with sometimes conflicting conclusions. However, there is an increasing agreement that stringent ESG standards have a positive correlation with </w:t>
      </w:r>
      <w:r w:rsidR="00E8063C" w:rsidRPr="00B320BE">
        <w:rPr>
          <w:rFonts w:ascii="Times New Roman" w:hAnsi="Times New Roman" w:cs="Times New Roman"/>
          <w:color w:val="000000" w:themeColor="text1"/>
          <w:sz w:val="24"/>
          <w:szCs w:val="24"/>
        </w:rPr>
        <w:t>long-term</w:t>
      </w:r>
      <w:r w:rsidRPr="00B320BE">
        <w:rPr>
          <w:rFonts w:ascii="Times New Roman" w:hAnsi="Times New Roman" w:cs="Times New Roman"/>
          <w:color w:val="000000" w:themeColor="text1"/>
          <w:sz w:val="24"/>
          <w:szCs w:val="24"/>
        </w:rPr>
        <w:t xml:space="preserve"> financial stability and lower risk exposure. On the one hand, it has been noted that stringent regulatory environments become a significant factor in facilitating ESG integration into investment strategies within the European context. Additionally, multiple studies discuss the different levels of ESG implementation among various sectors with banking often mentioned as one </w:t>
      </w:r>
      <w:r w:rsidR="00E8063C" w:rsidRPr="00B320BE">
        <w:rPr>
          <w:rFonts w:ascii="Times New Roman" w:hAnsi="Times New Roman" w:cs="Times New Roman"/>
          <w:color w:val="000000" w:themeColor="text1"/>
          <w:sz w:val="24"/>
          <w:szCs w:val="24"/>
        </w:rPr>
        <w:t>of</w:t>
      </w:r>
      <w:r w:rsidRPr="00B320BE">
        <w:rPr>
          <w:rFonts w:ascii="Times New Roman" w:hAnsi="Times New Roman" w:cs="Times New Roman"/>
          <w:color w:val="000000" w:themeColor="text1"/>
          <w:sz w:val="24"/>
          <w:szCs w:val="24"/>
        </w:rPr>
        <w:t xml:space="preserve"> its main participants and initiators of such agenda.</w:t>
      </w:r>
    </w:p>
    <w:p w:rsidR="006B2CF1" w:rsidRPr="00B320BE" w:rsidRDefault="00B51E4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Albeit comprehensive research has been carried out, there is a need for </w:t>
      </w:r>
      <w:r w:rsidR="00E8063C"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 xml:space="preserve">more focused analysis that explores the details of ESG performance management particularly in terms </w:t>
      </w:r>
      <w:r w:rsidR="00883A35" w:rsidRPr="00B320BE">
        <w:rPr>
          <w:rFonts w:ascii="Times New Roman" w:hAnsi="Times New Roman" w:cs="Times New Roman"/>
          <w:color w:val="000000" w:themeColor="text1"/>
          <w:sz w:val="24"/>
          <w:szCs w:val="24"/>
        </w:rPr>
        <w:t>of</w:t>
      </w:r>
      <w:r w:rsidRPr="00B320BE">
        <w:rPr>
          <w:rFonts w:ascii="Times New Roman" w:hAnsi="Times New Roman" w:cs="Times New Roman"/>
          <w:color w:val="000000" w:themeColor="text1"/>
          <w:sz w:val="24"/>
          <w:szCs w:val="24"/>
        </w:rPr>
        <w:t xml:space="preserve"> financial </w:t>
      </w:r>
      <w:r w:rsidRPr="00B320BE">
        <w:rPr>
          <w:rFonts w:ascii="Times New Roman" w:hAnsi="Times New Roman" w:cs="Times New Roman"/>
          <w:color w:val="000000" w:themeColor="text1"/>
          <w:sz w:val="24"/>
          <w:szCs w:val="24"/>
        </w:rPr>
        <w:lastRenderedPageBreak/>
        <w:t>investment. This gap is particularly observed when looking into specific practices and results in some leading banking institutions, that are usually taken as standard for the entire industry</w:t>
      </w:r>
      <w:r w:rsidR="006B2CF1" w:rsidRPr="00B320BE">
        <w:rPr>
          <w:rFonts w:ascii="Times New Roman" w:hAnsi="Times New Roman" w:cs="Times New Roman"/>
          <w:color w:val="000000" w:themeColor="text1"/>
          <w:sz w:val="24"/>
          <w:szCs w:val="24"/>
        </w:rPr>
        <w:t>.</w:t>
      </w:r>
    </w:p>
    <w:p w:rsidR="006B2CF1" w:rsidRPr="00B320BE" w:rsidRDefault="006B2CF1" w:rsidP="00B320BE">
      <w:pPr>
        <w:spacing w:line="360" w:lineRule="auto"/>
        <w:jc w:val="both"/>
        <w:rPr>
          <w:rFonts w:ascii="Times New Roman" w:hAnsi="Times New Roman" w:cs="Times New Roman"/>
          <w:color w:val="000000" w:themeColor="text1"/>
          <w:sz w:val="24"/>
          <w:szCs w:val="24"/>
        </w:rPr>
      </w:pPr>
    </w:p>
    <w:p w:rsidR="006B2CF1" w:rsidRPr="00B320BE" w:rsidRDefault="005621F6" w:rsidP="00B320BE">
      <w:pPr>
        <w:pStyle w:val="Heading1"/>
        <w:spacing w:line="360" w:lineRule="auto"/>
        <w:jc w:val="both"/>
        <w:rPr>
          <w:rFonts w:ascii="Times New Roman" w:hAnsi="Times New Roman" w:cs="Times New Roman"/>
          <w:b/>
          <w:color w:val="000000" w:themeColor="text1"/>
          <w:sz w:val="24"/>
          <w:szCs w:val="24"/>
        </w:rPr>
      </w:pPr>
      <w:bookmarkStart w:id="12" w:name="_Toc156676252"/>
      <w:bookmarkStart w:id="13" w:name="_Toc156845967"/>
      <w:r w:rsidRPr="00B320BE">
        <w:rPr>
          <w:rFonts w:ascii="Times New Roman" w:hAnsi="Times New Roman" w:cs="Times New Roman"/>
          <w:b/>
          <w:color w:val="000000" w:themeColor="text1"/>
          <w:sz w:val="24"/>
          <w:szCs w:val="24"/>
        </w:rPr>
        <w:t>Scope of the Paper</w:t>
      </w:r>
      <w:bookmarkEnd w:id="12"/>
      <w:bookmarkEnd w:id="13"/>
      <w:r w:rsidRPr="00B320BE">
        <w:rPr>
          <w:rFonts w:ascii="Times New Roman" w:hAnsi="Times New Roman" w:cs="Times New Roman"/>
          <w:b/>
          <w:color w:val="000000" w:themeColor="text1"/>
          <w:sz w:val="24"/>
          <w:szCs w:val="24"/>
        </w:rPr>
        <w:t xml:space="preserve"> </w:t>
      </w:r>
    </w:p>
    <w:p w:rsidR="00F63694" w:rsidRPr="00B320BE" w:rsidRDefault="00B51E4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scope of this paper is twofold: In addition, it includes two main parts – firstly to do a comprehensive review of the industrial practices </w:t>
      </w:r>
      <w:r w:rsidR="00E8063C" w:rsidRPr="00B320BE">
        <w:rPr>
          <w:rFonts w:ascii="Times New Roman" w:hAnsi="Times New Roman" w:cs="Times New Roman"/>
          <w:color w:val="000000" w:themeColor="text1"/>
          <w:sz w:val="24"/>
          <w:szCs w:val="24"/>
        </w:rPr>
        <w:t>of</w:t>
      </w:r>
      <w:r w:rsidRPr="00B320BE">
        <w:rPr>
          <w:rFonts w:ascii="Times New Roman" w:hAnsi="Times New Roman" w:cs="Times New Roman"/>
          <w:color w:val="000000" w:themeColor="text1"/>
          <w:sz w:val="24"/>
          <w:szCs w:val="24"/>
        </w:rPr>
        <w:t xml:space="preserve"> ESG performance management within </w:t>
      </w:r>
      <w:r w:rsidR="00E8063C"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European banking industry; and secondly analyze 5 biggest banks their performances on structure that is built around three pillars namely economic, social business environment which are considering as component under this index. These companies will be investigated whether they comply with the key five components of the Index, offering a minimized perspective on ESG integration in financial approaches.</w:t>
      </w:r>
    </w:p>
    <w:p w:rsidR="00CA652C" w:rsidRPr="00B320BE" w:rsidRDefault="00B51E4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This research stands out for its approach focusing exclusively on the European context and restricts this analysis to only some of </w:t>
      </w:r>
      <w:r w:rsidR="00E8063C"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leading banking institutions from the STOXX® Europe ESG Leaders 50 Index. This kind of narrow research will enable </w:t>
      </w:r>
      <w:r w:rsidR="00E8063C" w:rsidRPr="00B320BE">
        <w:rPr>
          <w:rFonts w:ascii="Times New Roman" w:hAnsi="Times New Roman" w:cs="Times New Roman"/>
          <w:color w:val="000000" w:themeColor="text1"/>
          <w:sz w:val="24"/>
          <w:szCs w:val="24"/>
        </w:rPr>
        <w:t xml:space="preserve">us </w:t>
      </w:r>
      <w:r w:rsidRPr="00B320BE">
        <w:rPr>
          <w:rFonts w:ascii="Times New Roman" w:hAnsi="Times New Roman" w:cs="Times New Roman"/>
          <w:color w:val="000000" w:themeColor="text1"/>
          <w:sz w:val="24"/>
          <w:szCs w:val="24"/>
        </w:rPr>
        <w:t xml:space="preserve">to gain an in-depth understanding </w:t>
      </w:r>
      <w:r w:rsidR="00E8063C" w:rsidRPr="00B320BE">
        <w:rPr>
          <w:rFonts w:ascii="Times New Roman" w:hAnsi="Times New Roman" w:cs="Times New Roman"/>
          <w:color w:val="000000" w:themeColor="text1"/>
          <w:sz w:val="24"/>
          <w:szCs w:val="24"/>
        </w:rPr>
        <w:t>of</w:t>
      </w:r>
      <w:r w:rsidRPr="00B320BE">
        <w:rPr>
          <w:rFonts w:ascii="Times New Roman" w:hAnsi="Times New Roman" w:cs="Times New Roman"/>
          <w:color w:val="000000" w:themeColor="text1"/>
          <w:sz w:val="24"/>
          <w:szCs w:val="24"/>
        </w:rPr>
        <w:t xml:space="preserve"> how ESG indicators can directly impact financial investment </w:t>
      </w:r>
      <w:r w:rsidR="00E8063C" w:rsidRPr="00B320BE">
        <w:rPr>
          <w:rFonts w:ascii="Times New Roman" w:hAnsi="Times New Roman" w:cs="Times New Roman"/>
          <w:color w:val="000000" w:themeColor="text1"/>
          <w:sz w:val="24"/>
          <w:szCs w:val="24"/>
        </w:rPr>
        <w:t>decision-making</w:t>
      </w:r>
      <w:r w:rsidRPr="00B320BE">
        <w:rPr>
          <w:rFonts w:ascii="Times New Roman" w:hAnsi="Times New Roman" w:cs="Times New Roman"/>
          <w:color w:val="000000" w:themeColor="text1"/>
          <w:sz w:val="24"/>
          <w:szCs w:val="24"/>
        </w:rPr>
        <w:t xml:space="preserve"> and performance. Utilizing the identified performance indicators, this paper seeks to provide a holistic and balanced perspective on how these top banks have fared in anchoring ESG principles into their central business strategies </w:t>
      </w:r>
      <w:r w:rsidR="00E8063C" w:rsidRPr="00B320BE">
        <w:rPr>
          <w:rFonts w:ascii="Times New Roman" w:hAnsi="Times New Roman" w:cs="Times New Roman"/>
          <w:color w:val="000000" w:themeColor="text1"/>
          <w:sz w:val="24"/>
          <w:szCs w:val="24"/>
        </w:rPr>
        <w:t>by</w:t>
      </w:r>
      <w:r w:rsidRPr="00B320BE">
        <w:rPr>
          <w:rFonts w:ascii="Times New Roman" w:hAnsi="Times New Roman" w:cs="Times New Roman"/>
          <w:color w:val="000000" w:themeColor="text1"/>
          <w:sz w:val="24"/>
          <w:szCs w:val="24"/>
        </w:rPr>
        <w:t xml:space="preserve"> generating a SWOT analysis.</w:t>
      </w:r>
      <w:r w:rsidR="00F63694" w:rsidRPr="00B320BE">
        <w:rPr>
          <w:rFonts w:ascii="Times New Roman" w:hAnsi="Times New Roman" w:cs="Times New Roman"/>
          <w:color w:val="000000" w:themeColor="text1"/>
          <w:sz w:val="24"/>
          <w:szCs w:val="24"/>
        </w:rPr>
        <w:t xml:space="preserve"> </w:t>
      </w:r>
      <w:r w:rsidRPr="00B320BE">
        <w:rPr>
          <w:rFonts w:ascii="Times New Roman" w:hAnsi="Times New Roman" w:cs="Times New Roman"/>
          <w:color w:val="000000" w:themeColor="text1"/>
          <w:sz w:val="24"/>
          <w:szCs w:val="24"/>
        </w:rPr>
        <w:t xml:space="preserve">The research </w:t>
      </w:r>
      <w:r w:rsidR="0024740B">
        <w:rPr>
          <w:rFonts w:ascii="Times New Roman" w:hAnsi="Times New Roman" w:cs="Times New Roman"/>
          <w:color w:val="000000" w:themeColor="text1"/>
          <w:sz w:val="24"/>
          <w:szCs w:val="24"/>
        </w:rPr>
        <w:t>question driving this study is t</w:t>
      </w:r>
      <w:r w:rsidRPr="00B320BE">
        <w:rPr>
          <w:rFonts w:ascii="Times New Roman" w:hAnsi="Times New Roman" w:cs="Times New Roman"/>
          <w:color w:val="000000" w:themeColor="text1"/>
          <w:sz w:val="24"/>
          <w:szCs w:val="24"/>
        </w:rPr>
        <w:t xml:space="preserve">he question </w:t>
      </w:r>
      <w:r w:rsidRPr="0024740B">
        <w:rPr>
          <w:rFonts w:ascii="Times New Roman" w:hAnsi="Times New Roman" w:cs="Times New Roman"/>
          <w:i/>
          <w:color w:val="000000" w:themeColor="text1"/>
          <w:sz w:val="24"/>
          <w:szCs w:val="24"/>
        </w:rPr>
        <w:t>“How do ESG performance indicators impact financial investments in the European banking sector?”</w:t>
      </w:r>
      <w:r w:rsidRPr="00B320BE">
        <w:rPr>
          <w:rFonts w:ascii="Times New Roman" w:hAnsi="Times New Roman" w:cs="Times New Roman"/>
          <w:color w:val="000000" w:themeColor="text1"/>
          <w:sz w:val="24"/>
          <w:szCs w:val="24"/>
        </w:rPr>
        <w:t xml:space="preserve"> helps unveil intricate connections between ESG practices and financial outcomes, thereby offering practical information for investors </w:t>
      </w:r>
      <w:r w:rsidR="00E8063C" w:rsidRPr="00B320BE">
        <w:rPr>
          <w:rFonts w:ascii="Times New Roman" w:hAnsi="Times New Roman" w:cs="Times New Roman"/>
          <w:color w:val="000000" w:themeColor="text1"/>
          <w:sz w:val="24"/>
          <w:szCs w:val="24"/>
        </w:rPr>
        <w:t xml:space="preserve">and </w:t>
      </w:r>
      <w:r w:rsidRPr="00B320BE">
        <w:rPr>
          <w:rFonts w:ascii="Times New Roman" w:hAnsi="Times New Roman" w:cs="Times New Roman"/>
          <w:color w:val="000000" w:themeColor="text1"/>
          <w:sz w:val="24"/>
          <w:szCs w:val="24"/>
        </w:rPr>
        <w:t>policymakers</w:t>
      </w:r>
      <w:r w:rsidR="006B2CF1" w:rsidRPr="00B320BE">
        <w:rPr>
          <w:rFonts w:ascii="Times New Roman" w:hAnsi="Times New Roman" w:cs="Times New Roman"/>
          <w:color w:val="000000" w:themeColor="text1"/>
          <w:sz w:val="24"/>
          <w:szCs w:val="24"/>
        </w:rPr>
        <w:t>.</w:t>
      </w:r>
    </w:p>
    <w:p w:rsidR="00883A35" w:rsidRPr="00B320BE" w:rsidRDefault="00883A35" w:rsidP="00B320BE">
      <w:pPr>
        <w:spacing w:line="360" w:lineRule="auto"/>
        <w:jc w:val="both"/>
        <w:rPr>
          <w:rFonts w:ascii="Times New Roman" w:hAnsi="Times New Roman" w:cs="Times New Roman"/>
          <w:color w:val="000000" w:themeColor="text1"/>
          <w:sz w:val="24"/>
          <w:szCs w:val="24"/>
        </w:rPr>
      </w:pPr>
    </w:p>
    <w:p w:rsidR="00883A35" w:rsidRPr="00B320BE" w:rsidRDefault="00883A35" w:rsidP="00B320BE">
      <w:pPr>
        <w:pStyle w:val="Heading1"/>
        <w:spacing w:line="360" w:lineRule="auto"/>
        <w:jc w:val="both"/>
        <w:rPr>
          <w:rFonts w:ascii="Times New Roman" w:hAnsi="Times New Roman" w:cs="Times New Roman"/>
          <w:b/>
          <w:color w:val="000000" w:themeColor="text1"/>
          <w:sz w:val="24"/>
          <w:szCs w:val="24"/>
        </w:rPr>
      </w:pPr>
      <w:bookmarkStart w:id="14" w:name="_Toc156676253"/>
      <w:bookmarkStart w:id="15" w:name="_Toc156845968"/>
      <w:r w:rsidRPr="00B320BE">
        <w:rPr>
          <w:rFonts w:ascii="Times New Roman" w:hAnsi="Times New Roman" w:cs="Times New Roman"/>
          <w:b/>
          <w:color w:val="000000" w:themeColor="text1"/>
          <w:sz w:val="24"/>
          <w:szCs w:val="24"/>
        </w:rPr>
        <w:t>Roadm</w:t>
      </w:r>
      <w:r w:rsidR="0020133B" w:rsidRPr="00B320BE">
        <w:rPr>
          <w:rFonts w:ascii="Times New Roman" w:hAnsi="Times New Roman" w:cs="Times New Roman"/>
          <w:b/>
          <w:color w:val="000000" w:themeColor="text1"/>
          <w:sz w:val="24"/>
          <w:szCs w:val="24"/>
        </w:rPr>
        <w:t>ap to the Content</w:t>
      </w:r>
      <w:bookmarkEnd w:id="14"/>
      <w:bookmarkEnd w:id="15"/>
    </w:p>
    <w:p w:rsidR="00F80847" w:rsidRPr="00B320BE" w:rsidRDefault="00F80847"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initial step of the research path is a sufficient introduction with certain conclusions, which define what goals and areas are covered by this study. It creates context by focusing on the redefining scene of ESG reporting and sustainable committed investment, outlining their growing importance all over the world. </w:t>
      </w:r>
      <w:r w:rsidR="00B320BE">
        <w:rPr>
          <w:rFonts w:ascii="Times New Roman" w:hAnsi="Times New Roman" w:cs="Times New Roman"/>
          <w:color w:val="000000" w:themeColor="text1"/>
          <w:sz w:val="24"/>
          <w:szCs w:val="24"/>
        </w:rPr>
        <w:t xml:space="preserve"> </w:t>
      </w:r>
      <w:r w:rsidRPr="00B320BE">
        <w:rPr>
          <w:rFonts w:ascii="Times New Roman" w:hAnsi="Times New Roman" w:cs="Times New Roman"/>
          <w:color w:val="000000" w:themeColor="text1"/>
          <w:sz w:val="24"/>
          <w:szCs w:val="24"/>
        </w:rPr>
        <w:t>The literature review further looks into the historical background, regulatory structures</w:t>
      </w:r>
      <w:r w:rsidR="00E8063C"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current tendencies determining ESG reporting. It discusses the relationships between ESG practices and financial performance before diving into further analyses.</w:t>
      </w:r>
    </w:p>
    <w:p w:rsidR="00F80847" w:rsidRPr="00B320BE" w:rsidRDefault="00F80847"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 xml:space="preserve">The methodology is structured, explaining the methods of data collection and analysis. Although the limitations are indisputable, this section provides a foundation for subsequent case studies. The case studies progress with </w:t>
      </w:r>
      <w:r w:rsidR="00E8063C"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thorough analysis of prominent financial entities; namely, Intesa Sanpaolo, Nordea Bank thus ING Group BNP Paribas</w:t>
      </w:r>
      <w:r w:rsidR="00E8063C"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finally Banco Santander. Each case analyzes the companies’ sustainability programs, risk management structures</w:t>
      </w:r>
      <w:r w:rsidR="00E8063C"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decision frameworks as well as </w:t>
      </w:r>
      <w:r w:rsidR="00E8063C"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effect that ESG considerations had on their financial performance.</w:t>
      </w:r>
    </w:p>
    <w:p w:rsidR="00F80847" w:rsidRPr="00B320BE" w:rsidRDefault="00F80847"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There follows a comparative analysis in the discussion section which compares ESG performance against financial measures. The implications for investors and stakeholders are analyzed, offering </w:t>
      </w:r>
      <w:r w:rsidR="00E8063C"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detailed analysis of the complex relationship between sustainability p</w:t>
      </w:r>
      <w:r w:rsidR="00B320BE">
        <w:rPr>
          <w:rFonts w:ascii="Times New Roman" w:hAnsi="Times New Roman" w:cs="Times New Roman"/>
          <w:color w:val="000000" w:themeColor="text1"/>
          <w:sz w:val="24"/>
          <w:szCs w:val="24"/>
        </w:rPr>
        <w:t xml:space="preserve">ractices and financial returns. </w:t>
      </w:r>
      <w:r w:rsidRPr="00B320BE">
        <w:rPr>
          <w:rFonts w:ascii="Times New Roman" w:hAnsi="Times New Roman" w:cs="Times New Roman"/>
          <w:color w:val="000000" w:themeColor="text1"/>
          <w:sz w:val="24"/>
          <w:szCs w:val="24"/>
        </w:rPr>
        <w:t>Outside the financial industry, this study travers regulation where NFRD and CSRD deliberations are discussed. This section also addresses the compatibility of rep</w:t>
      </w:r>
      <w:r w:rsidR="00FB737F" w:rsidRPr="00B320BE">
        <w:rPr>
          <w:rFonts w:ascii="Times New Roman" w:hAnsi="Times New Roman" w:cs="Times New Roman"/>
          <w:color w:val="000000" w:themeColor="text1"/>
          <w:sz w:val="24"/>
          <w:szCs w:val="24"/>
        </w:rPr>
        <w:t xml:space="preserve">orting guidelines with UN SDGs. </w:t>
      </w:r>
      <w:r w:rsidRPr="00B320BE">
        <w:rPr>
          <w:rFonts w:ascii="Times New Roman" w:hAnsi="Times New Roman" w:cs="Times New Roman"/>
          <w:color w:val="000000" w:themeColor="text1"/>
          <w:sz w:val="24"/>
          <w:szCs w:val="24"/>
        </w:rPr>
        <w:t>A SWOT analysis delves into each company’s strengths, weaknesses, opportunities</w:t>
      </w:r>
      <w:r w:rsidR="00E8063C"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threats. This critical analysis reveals the intricacies of sustainability practices in each organization.</w:t>
      </w:r>
      <w:r w:rsidR="00231ECA" w:rsidRPr="00B320BE">
        <w:rPr>
          <w:rFonts w:ascii="Times New Roman" w:hAnsi="Times New Roman" w:cs="Times New Roman"/>
          <w:color w:val="000000" w:themeColor="text1"/>
          <w:sz w:val="24"/>
          <w:szCs w:val="24"/>
        </w:rPr>
        <w:t xml:space="preserve"> </w:t>
      </w:r>
      <w:r w:rsidRPr="00B320BE">
        <w:rPr>
          <w:rFonts w:ascii="Times New Roman" w:hAnsi="Times New Roman" w:cs="Times New Roman"/>
          <w:color w:val="000000" w:themeColor="text1"/>
          <w:sz w:val="24"/>
          <w:szCs w:val="24"/>
        </w:rPr>
        <w:t xml:space="preserve">The study then </w:t>
      </w:r>
      <w:r w:rsidR="00E8063C" w:rsidRPr="00B320BE">
        <w:rPr>
          <w:rFonts w:ascii="Times New Roman" w:hAnsi="Times New Roman" w:cs="Times New Roman"/>
          <w:color w:val="000000" w:themeColor="text1"/>
          <w:sz w:val="24"/>
          <w:szCs w:val="24"/>
        </w:rPr>
        <w:t>focuses</w:t>
      </w:r>
      <w:r w:rsidRPr="00B320BE">
        <w:rPr>
          <w:rFonts w:ascii="Times New Roman" w:hAnsi="Times New Roman" w:cs="Times New Roman"/>
          <w:color w:val="000000" w:themeColor="text1"/>
          <w:sz w:val="24"/>
          <w:szCs w:val="24"/>
        </w:rPr>
        <w:t xml:space="preserve"> </w:t>
      </w:r>
      <w:r w:rsidR="00E8063C" w:rsidRPr="00B320BE">
        <w:rPr>
          <w:rFonts w:ascii="Times New Roman" w:hAnsi="Times New Roman" w:cs="Times New Roman"/>
          <w:color w:val="000000" w:themeColor="text1"/>
          <w:sz w:val="24"/>
          <w:szCs w:val="24"/>
        </w:rPr>
        <w:t xml:space="preserve">on </w:t>
      </w:r>
      <w:r w:rsidRPr="00B320BE">
        <w:rPr>
          <w:rFonts w:ascii="Times New Roman" w:hAnsi="Times New Roman" w:cs="Times New Roman"/>
          <w:color w:val="000000" w:themeColor="text1"/>
          <w:sz w:val="24"/>
          <w:szCs w:val="24"/>
        </w:rPr>
        <w:t>a strikingly interesting perspective of herding behavior in ESG investments to investigate investor patterns and implications for portfolio management. Such insight from this reading provides insights for both seasoned and neophyte sustainable investors.</w:t>
      </w:r>
    </w:p>
    <w:p w:rsidR="0020758F" w:rsidRPr="00B320BE" w:rsidRDefault="00F80847"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conclusion provides </w:t>
      </w:r>
      <w:r w:rsidR="00E8063C" w:rsidRPr="00B320BE">
        <w:rPr>
          <w:rFonts w:ascii="Times New Roman" w:hAnsi="Times New Roman" w:cs="Times New Roman"/>
          <w:color w:val="000000" w:themeColor="text1"/>
          <w:sz w:val="24"/>
          <w:szCs w:val="24"/>
        </w:rPr>
        <w:t>high-level</w:t>
      </w:r>
      <w:r w:rsidRPr="00B320BE">
        <w:rPr>
          <w:rFonts w:ascii="Times New Roman" w:hAnsi="Times New Roman" w:cs="Times New Roman"/>
          <w:color w:val="000000" w:themeColor="text1"/>
          <w:sz w:val="24"/>
          <w:szCs w:val="24"/>
        </w:rPr>
        <w:t xml:space="preserve"> key takeaways, </w:t>
      </w:r>
      <w:r w:rsidR="00E8063C" w:rsidRPr="00B320BE">
        <w:rPr>
          <w:rFonts w:ascii="Times New Roman" w:hAnsi="Times New Roman" w:cs="Times New Roman"/>
          <w:color w:val="000000" w:themeColor="text1"/>
          <w:sz w:val="24"/>
          <w:szCs w:val="24"/>
        </w:rPr>
        <w:t>including</w:t>
      </w:r>
      <w:r w:rsidRPr="00B320BE">
        <w:rPr>
          <w:rFonts w:ascii="Times New Roman" w:hAnsi="Times New Roman" w:cs="Times New Roman"/>
          <w:color w:val="000000" w:themeColor="text1"/>
          <w:sz w:val="24"/>
          <w:szCs w:val="24"/>
        </w:rPr>
        <w:t xml:space="preserve"> summarizing what is learned and highlighting contributions made as well as pointing out practical implications for investors’ investment decisions and firms such actions that can be taken it also points out core relevant data on specifics needed by the policymaker along with their suggestions. It also points out possible directions for future studies, promoting further progress in the analysis of ESG factors and financial </w:t>
      </w:r>
      <w:r w:rsidR="00E8063C" w:rsidRPr="00B320BE">
        <w:rPr>
          <w:rFonts w:ascii="Times New Roman" w:hAnsi="Times New Roman" w:cs="Times New Roman"/>
          <w:color w:val="000000" w:themeColor="text1"/>
          <w:sz w:val="24"/>
          <w:szCs w:val="24"/>
        </w:rPr>
        <w:t>market</w:t>
      </w:r>
      <w:r w:rsidRPr="00B320BE">
        <w:rPr>
          <w:rFonts w:ascii="Times New Roman" w:hAnsi="Times New Roman" w:cs="Times New Roman"/>
          <w:color w:val="000000" w:themeColor="text1"/>
          <w:sz w:val="24"/>
          <w:szCs w:val="24"/>
        </w:rPr>
        <w:t xml:space="preserve"> relationships. The study covers more generalized implications to financial markets outlining how ESG considerations shape portfolio structure and market trends. It reiterates the main research findings, suggests pragmatic implementation approaches</w:t>
      </w:r>
      <w:r w:rsidR="00E8063C"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identifies areas for future inquiry as a holistic guide to understanding the challenging convergence of sustainability issues with finance.</w:t>
      </w:r>
    </w:p>
    <w:p w:rsidR="00035C7A" w:rsidRDefault="00035C7A" w:rsidP="00B320BE">
      <w:pPr>
        <w:spacing w:line="360" w:lineRule="auto"/>
        <w:jc w:val="both"/>
        <w:rPr>
          <w:rFonts w:ascii="Times New Roman" w:hAnsi="Times New Roman" w:cs="Times New Roman"/>
          <w:noProof/>
          <w:color w:val="000000" w:themeColor="text1"/>
          <w:sz w:val="24"/>
          <w:szCs w:val="24"/>
        </w:rPr>
      </w:pPr>
    </w:p>
    <w:p w:rsidR="00035C7A" w:rsidRDefault="00035C7A">
      <w:pPr>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br w:type="page"/>
      </w:r>
    </w:p>
    <w:p w:rsidR="00035C7A" w:rsidRDefault="00035C7A" w:rsidP="00B320BE">
      <w:pPr>
        <w:spacing w:line="360" w:lineRule="auto"/>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anchor distT="0" distB="0" distL="114300" distR="114300" simplePos="0" relativeHeight="251673600" behindDoc="0" locked="0" layoutInCell="1" allowOverlap="1" wp14:anchorId="491B9E25" wp14:editId="438EC549">
            <wp:simplePos x="0" y="0"/>
            <wp:positionH relativeFrom="column">
              <wp:posOffset>521970</wp:posOffset>
            </wp:positionH>
            <wp:positionV relativeFrom="paragraph">
              <wp:posOffset>76200</wp:posOffset>
            </wp:positionV>
            <wp:extent cx="5017770" cy="5058410"/>
            <wp:effectExtent l="76200" t="76200" r="125730" b="14224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017770" cy="50584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3F1717" w:rsidRPr="00B320BE" w:rsidRDefault="00035C7A" w:rsidP="00035C7A">
      <w:pPr>
        <w:rPr>
          <w:rFonts w:ascii="Times New Roman" w:hAnsi="Times New Roman" w:cs="Times New Roman"/>
          <w:color w:val="000000" w:themeColor="text1"/>
          <w:sz w:val="24"/>
          <w:szCs w:val="24"/>
        </w:rPr>
      </w:pPr>
      <w:r>
        <w:rPr>
          <w:noProof/>
        </w:rPr>
        <mc:AlternateContent>
          <mc:Choice Requires="wps">
            <w:drawing>
              <wp:anchor distT="0" distB="0" distL="114300" distR="114300" simplePos="0" relativeHeight="251675648" behindDoc="0" locked="0" layoutInCell="1" allowOverlap="1" wp14:anchorId="5733652C" wp14:editId="69BD3926">
                <wp:simplePos x="0" y="0"/>
                <wp:positionH relativeFrom="column">
                  <wp:posOffset>531495</wp:posOffset>
                </wp:positionH>
                <wp:positionV relativeFrom="paragraph">
                  <wp:posOffset>5051730</wp:posOffset>
                </wp:positionV>
                <wp:extent cx="5017770" cy="635"/>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5017770" cy="635"/>
                        </a:xfrm>
                        <a:prstGeom prst="rect">
                          <a:avLst/>
                        </a:prstGeom>
                        <a:solidFill>
                          <a:prstClr val="white"/>
                        </a:solidFill>
                        <a:ln>
                          <a:noFill/>
                        </a:ln>
                      </wps:spPr>
                      <wps:txbx>
                        <w:txbxContent>
                          <w:p w:rsidR="0028176D" w:rsidRPr="00035C7A" w:rsidRDefault="0028176D" w:rsidP="00035C7A">
                            <w:pPr>
                              <w:pStyle w:val="Caption"/>
                              <w:rPr>
                                <w:rFonts w:ascii="Times New Roman" w:hAnsi="Times New Roman" w:cs="Times New Roman"/>
                                <w:b/>
                                <w:i w:val="0"/>
                                <w:noProof/>
                                <w:color w:val="auto"/>
                                <w:sz w:val="36"/>
                                <w:szCs w:val="24"/>
                              </w:rPr>
                            </w:pPr>
                            <w:bookmarkStart w:id="16" w:name="_Toc156846077"/>
                            <w:r w:rsidRPr="00035C7A">
                              <w:rPr>
                                <w:rFonts w:ascii="Times New Roman" w:hAnsi="Times New Roman" w:cs="Times New Roman"/>
                                <w:b/>
                                <w:i w:val="0"/>
                                <w:color w:val="auto"/>
                                <w:sz w:val="24"/>
                              </w:rPr>
                              <w:t xml:space="preserve">Figure </w:t>
                            </w:r>
                            <w:r w:rsidRPr="00035C7A">
                              <w:rPr>
                                <w:rFonts w:ascii="Times New Roman" w:hAnsi="Times New Roman" w:cs="Times New Roman"/>
                                <w:b/>
                                <w:i w:val="0"/>
                                <w:color w:val="auto"/>
                                <w:sz w:val="24"/>
                              </w:rPr>
                              <w:fldChar w:fldCharType="begin"/>
                            </w:r>
                            <w:r w:rsidRPr="00035C7A">
                              <w:rPr>
                                <w:rFonts w:ascii="Times New Roman" w:hAnsi="Times New Roman" w:cs="Times New Roman"/>
                                <w:b/>
                                <w:i w:val="0"/>
                                <w:color w:val="auto"/>
                                <w:sz w:val="24"/>
                              </w:rPr>
                              <w:instrText xml:space="preserve"> SEQ Figure \* ARABIC </w:instrText>
                            </w:r>
                            <w:r w:rsidRPr="00035C7A">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1</w:t>
                            </w:r>
                            <w:bookmarkEnd w:id="16"/>
                            <w:r w:rsidRPr="00035C7A">
                              <w:rPr>
                                <w:rFonts w:ascii="Times New Roman" w:hAnsi="Times New Roman" w:cs="Times New Roman"/>
                                <w:b/>
                                <w:i w:val="0"/>
                                <w:color w:val="auto"/>
                                <w:sz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733652C" id="_x0000_t202" coordsize="21600,21600" o:spt="202" path="m,l,21600r21600,l21600,xe">
                <v:stroke joinstyle="miter"/>
                <v:path gradientshapeok="t" o:connecttype="rect"/>
              </v:shapetype>
              <v:shape id="Text Box 16" o:spid="_x0000_s1026" type="#_x0000_t202" style="position:absolute;margin-left:41.85pt;margin-top:397.75pt;width:395.1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" stroked="f">
                <v:textbox style="mso-fit-shape-to-text:t" inset="0,0,0,0">
                  <w:txbxContent>
                    <w:p w:rsidR="0028176D" w:rsidRPr="00035C7A" w:rsidRDefault="0028176D" w:rsidP="00035C7A">
                      <w:pPr>
                        <w:pStyle w:val="Caption"/>
                        <w:rPr>
                          <w:rFonts w:ascii="Times New Roman" w:hAnsi="Times New Roman" w:cs="Times New Roman"/>
                          <w:b/>
                          <w:i w:val="0"/>
                          <w:noProof/>
                          <w:color w:val="auto"/>
                          <w:sz w:val="36"/>
                          <w:szCs w:val="24"/>
                        </w:rPr>
                      </w:pPr>
                      <w:bookmarkStart w:id="17" w:name="_Toc156846077"/>
                      <w:r w:rsidRPr="00035C7A">
                        <w:rPr>
                          <w:rFonts w:ascii="Times New Roman" w:hAnsi="Times New Roman" w:cs="Times New Roman"/>
                          <w:b/>
                          <w:i w:val="0"/>
                          <w:color w:val="auto"/>
                          <w:sz w:val="24"/>
                        </w:rPr>
                        <w:t xml:space="preserve">Figure </w:t>
                      </w:r>
                      <w:r w:rsidRPr="00035C7A">
                        <w:rPr>
                          <w:rFonts w:ascii="Times New Roman" w:hAnsi="Times New Roman" w:cs="Times New Roman"/>
                          <w:b/>
                          <w:i w:val="0"/>
                          <w:color w:val="auto"/>
                          <w:sz w:val="24"/>
                        </w:rPr>
                        <w:fldChar w:fldCharType="begin"/>
                      </w:r>
                      <w:r w:rsidRPr="00035C7A">
                        <w:rPr>
                          <w:rFonts w:ascii="Times New Roman" w:hAnsi="Times New Roman" w:cs="Times New Roman"/>
                          <w:b/>
                          <w:i w:val="0"/>
                          <w:color w:val="auto"/>
                          <w:sz w:val="24"/>
                        </w:rPr>
                        <w:instrText xml:space="preserve"> SEQ Figure \* ARABIC </w:instrText>
                      </w:r>
                      <w:r w:rsidRPr="00035C7A">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1</w:t>
                      </w:r>
                      <w:bookmarkEnd w:id="17"/>
                      <w:r w:rsidRPr="00035C7A">
                        <w:rPr>
                          <w:rFonts w:ascii="Times New Roman" w:hAnsi="Times New Roman" w:cs="Times New Roman"/>
                          <w:b/>
                          <w:i w:val="0"/>
                          <w:color w:val="auto"/>
                          <w:sz w:val="24"/>
                        </w:rPr>
                        <w:fldChar w:fldCharType="end"/>
                      </w:r>
                    </w:p>
                  </w:txbxContent>
                </v:textbox>
                <w10:wrap type="square"/>
              </v:shape>
            </w:pict>
          </mc:Fallback>
        </mc:AlternateContent>
      </w:r>
      <w:r>
        <w:rPr>
          <w:rFonts w:ascii="Times New Roman" w:hAnsi="Times New Roman" w:cs="Times New Roman"/>
          <w:color w:val="000000" w:themeColor="text1"/>
          <w:sz w:val="24"/>
          <w:szCs w:val="24"/>
        </w:rPr>
        <w:br w:type="page"/>
      </w:r>
    </w:p>
    <w:p w:rsidR="003F1717" w:rsidRPr="00B320BE" w:rsidRDefault="005D47AE" w:rsidP="00B320BE">
      <w:pPr>
        <w:pStyle w:val="Heading1"/>
        <w:spacing w:line="360" w:lineRule="auto"/>
        <w:jc w:val="both"/>
        <w:rPr>
          <w:rFonts w:ascii="Times New Roman" w:hAnsi="Times New Roman" w:cs="Times New Roman"/>
          <w:b/>
          <w:color w:val="000000" w:themeColor="text1"/>
          <w:sz w:val="24"/>
          <w:szCs w:val="24"/>
        </w:rPr>
      </w:pPr>
      <w:bookmarkStart w:id="18" w:name="_Toc156676254"/>
      <w:bookmarkStart w:id="19" w:name="_Toc156845969"/>
      <w:r w:rsidRPr="00B320BE">
        <w:rPr>
          <w:rFonts w:ascii="Times New Roman" w:hAnsi="Times New Roman" w:cs="Times New Roman"/>
          <w:b/>
          <w:color w:val="000000" w:themeColor="text1"/>
          <w:sz w:val="24"/>
          <w:szCs w:val="24"/>
        </w:rPr>
        <w:lastRenderedPageBreak/>
        <w:t>Chapter: 1</w:t>
      </w:r>
      <w:bookmarkEnd w:id="18"/>
      <w:bookmarkEnd w:id="19"/>
    </w:p>
    <w:p w:rsidR="004E50DB" w:rsidRPr="00B320BE" w:rsidRDefault="004E50DB" w:rsidP="00B320BE">
      <w:pPr>
        <w:pStyle w:val="Heading1"/>
        <w:spacing w:line="360" w:lineRule="auto"/>
        <w:jc w:val="both"/>
        <w:rPr>
          <w:rFonts w:ascii="Times New Roman" w:hAnsi="Times New Roman" w:cs="Times New Roman"/>
          <w:b/>
          <w:color w:val="000000" w:themeColor="text1"/>
          <w:sz w:val="24"/>
          <w:szCs w:val="24"/>
        </w:rPr>
      </w:pPr>
      <w:bookmarkStart w:id="20" w:name="_Toc156676255"/>
      <w:bookmarkStart w:id="21" w:name="_Toc156845970"/>
      <w:r w:rsidRPr="00B320BE">
        <w:rPr>
          <w:rFonts w:ascii="Times New Roman" w:hAnsi="Times New Roman" w:cs="Times New Roman"/>
          <w:b/>
          <w:color w:val="000000" w:themeColor="text1"/>
          <w:sz w:val="24"/>
          <w:szCs w:val="24"/>
        </w:rPr>
        <w:t>Literature Review</w:t>
      </w:r>
      <w:bookmarkEnd w:id="20"/>
      <w:bookmarkEnd w:id="21"/>
    </w:p>
    <w:p w:rsidR="002902C0" w:rsidRPr="00B320BE" w:rsidRDefault="002902C0"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In the contemporary setting of European retail banking, ESG factors have emerged as a critical element that </w:t>
      </w:r>
      <w:r w:rsidR="00E8063C" w:rsidRPr="00B320BE">
        <w:rPr>
          <w:rFonts w:ascii="Times New Roman" w:hAnsi="Times New Roman" w:cs="Times New Roman"/>
          <w:color w:val="000000" w:themeColor="text1"/>
          <w:sz w:val="24"/>
          <w:szCs w:val="24"/>
        </w:rPr>
        <w:t>ensures</w:t>
      </w:r>
      <w:r w:rsidRPr="00B320BE">
        <w:rPr>
          <w:rFonts w:ascii="Times New Roman" w:hAnsi="Times New Roman" w:cs="Times New Roman"/>
          <w:color w:val="000000" w:themeColor="text1"/>
          <w:sz w:val="24"/>
          <w:szCs w:val="24"/>
        </w:rPr>
        <w:t xml:space="preserve"> financial strategies and decision-making processes are optimized. The scope of this introduction, therefore makes the relevance of ESG considerations to sustainable and responsible banking practices evident.</w:t>
      </w:r>
    </w:p>
    <w:p w:rsidR="00F02689" w:rsidRPr="00B320BE" w:rsidRDefault="002902C0"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Given the shifts caused by environmental issues, social responsibilities</w:t>
      </w:r>
      <w:r w:rsidR="00E8063C"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governance structures that markets undergo to sail through, European retail banking is standing at such a junction which signifies a paradigm shift. The impact of broader societal and environmental contexts is already being recognized by investors, regulators, as well as customers. </w:t>
      </w:r>
      <w:r w:rsidR="00F02689" w:rsidRPr="00B320BE">
        <w:rPr>
          <w:rFonts w:ascii="Times New Roman" w:hAnsi="Times New Roman" w:cs="Times New Roman"/>
          <w:color w:val="000000" w:themeColor="text1"/>
          <w:sz w:val="24"/>
          <w:szCs w:val="24"/>
        </w:rPr>
        <w:t xml:space="preserve">Therefore, this preface provides the basis for an in-depth analysis of </w:t>
      </w:r>
      <w:r w:rsidR="000C52B7" w:rsidRPr="00B320BE">
        <w:rPr>
          <w:rFonts w:ascii="Times New Roman" w:hAnsi="Times New Roman" w:cs="Times New Roman"/>
          <w:color w:val="000000" w:themeColor="text1"/>
          <w:sz w:val="24"/>
          <w:szCs w:val="24"/>
        </w:rPr>
        <w:t xml:space="preserve">the </w:t>
      </w:r>
      <w:r w:rsidR="00F02689" w:rsidRPr="00B320BE">
        <w:rPr>
          <w:rFonts w:ascii="Times New Roman" w:hAnsi="Times New Roman" w:cs="Times New Roman"/>
          <w:color w:val="000000" w:themeColor="text1"/>
          <w:sz w:val="24"/>
          <w:szCs w:val="24"/>
        </w:rPr>
        <w:t xml:space="preserve">literature that examines the ESG integration and financial performance relationships within European retail banking. </w:t>
      </w:r>
    </w:p>
    <w:p w:rsidR="002902C0" w:rsidRPr="00B320BE" w:rsidRDefault="00F02689"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Within the study of disentangling ESG factors and financial performance, many scholars offer helpful inferences. As far as many scholars have undertaken different studies focusing on ESG issues and financial performance, Amel-Zadeh &amp; Serafeim in 2018 are among them. To begin with, their study highlights the importance of ESG disclosures that are significant in </w:t>
      </w:r>
      <w:r w:rsidR="000C52B7" w:rsidRPr="00B320BE">
        <w:rPr>
          <w:rFonts w:ascii="Times New Roman" w:hAnsi="Times New Roman" w:cs="Times New Roman"/>
          <w:color w:val="000000" w:themeColor="text1"/>
          <w:sz w:val="24"/>
          <w:szCs w:val="24"/>
        </w:rPr>
        <w:t>acknowledgment</w:t>
      </w:r>
      <w:r w:rsidRPr="00B320BE">
        <w:rPr>
          <w:rFonts w:ascii="Times New Roman" w:hAnsi="Times New Roman" w:cs="Times New Roman"/>
          <w:color w:val="000000" w:themeColor="text1"/>
          <w:sz w:val="24"/>
          <w:szCs w:val="24"/>
        </w:rPr>
        <w:t xml:space="preserve"> by knowledgeable investors who need information availed tangibly for use as </w:t>
      </w:r>
      <w:r w:rsidR="000C52B7"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 xml:space="preserve">basis </w:t>
      </w:r>
      <w:r w:rsidR="000C52B7" w:rsidRPr="00B320BE">
        <w:rPr>
          <w:rFonts w:ascii="Times New Roman" w:hAnsi="Times New Roman" w:cs="Times New Roman"/>
          <w:color w:val="000000" w:themeColor="text1"/>
          <w:sz w:val="24"/>
          <w:szCs w:val="24"/>
        </w:rPr>
        <w:t xml:space="preserve">for </w:t>
      </w:r>
      <w:r w:rsidRPr="00B320BE">
        <w:rPr>
          <w:rFonts w:ascii="Times New Roman" w:hAnsi="Times New Roman" w:cs="Times New Roman"/>
          <w:color w:val="000000" w:themeColor="text1"/>
          <w:sz w:val="24"/>
          <w:szCs w:val="24"/>
        </w:rPr>
        <w:t xml:space="preserve">investment </w:t>
      </w:r>
      <w:r w:rsidR="000C52B7" w:rsidRPr="00B320BE">
        <w:rPr>
          <w:rFonts w:ascii="Times New Roman" w:hAnsi="Times New Roman" w:cs="Times New Roman"/>
          <w:color w:val="000000" w:themeColor="text1"/>
          <w:sz w:val="24"/>
          <w:szCs w:val="24"/>
        </w:rPr>
        <w:t>decision-making</w:t>
      </w:r>
      <w:r w:rsidR="00112759" w:rsidRPr="00B320BE">
        <w:rPr>
          <w:rFonts w:ascii="Times New Roman" w:hAnsi="Times New Roman" w:cs="Times New Roman"/>
          <w:color w:val="000000" w:themeColor="text1"/>
          <w:sz w:val="24"/>
          <w:szCs w:val="24"/>
        </w:rPr>
        <w:t xml:space="preserve"> (Amel-Zadeh and Serafeim, 2018).</w:t>
      </w:r>
    </w:p>
    <w:p w:rsidR="00F02689" w:rsidRPr="00B320BE" w:rsidRDefault="00F02689"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At the same time,</w:t>
      </w:r>
      <w:r w:rsidR="00112759" w:rsidRPr="00B320BE">
        <w:rPr>
          <w:rFonts w:ascii="Times New Roman" w:hAnsi="Times New Roman" w:cs="Times New Roman"/>
          <w:color w:val="000000" w:themeColor="text1"/>
          <w:sz w:val="24"/>
          <w:szCs w:val="24"/>
        </w:rPr>
        <w:t xml:space="preserve"> Gillan </w:t>
      </w:r>
      <w:r w:rsidR="00FD13C0" w:rsidRPr="00B320BE">
        <w:rPr>
          <w:rFonts w:ascii="Times New Roman" w:hAnsi="Times New Roman" w:cs="Times New Roman"/>
          <w:color w:val="000000" w:themeColor="text1"/>
          <w:sz w:val="24"/>
          <w:szCs w:val="24"/>
        </w:rPr>
        <w:t>notes</w:t>
      </w:r>
      <w:r w:rsidRPr="00B320BE">
        <w:rPr>
          <w:rFonts w:ascii="Times New Roman" w:hAnsi="Times New Roman" w:cs="Times New Roman"/>
          <w:color w:val="000000" w:themeColor="text1"/>
          <w:sz w:val="24"/>
          <w:szCs w:val="24"/>
        </w:rPr>
        <w:t xml:space="preserve"> that corporate social behavior is becoming an increasingly attractive source of public attention on changes in efficiency and complexity among business entities which involves positive externalities arising from </w:t>
      </w:r>
      <w:r w:rsidR="000C52B7" w:rsidRPr="00B320BE">
        <w:rPr>
          <w:rFonts w:ascii="Times New Roman" w:hAnsi="Times New Roman" w:cs="Times New Roman"/>
          <w:color w:val="000000" w:themeColor="text1"/>
          <w:sz w:val="24"/>
          <w:szCs w:val="24"/>
        </w:rPr>
        <w:t>multi-faceted</w:t>
      </w:r>
      <w:r w:rsidRPr="00B320BE">
        <w:rPr>
          <w:rFonts w:ascii="Times New Roman" w:hAnsi="Times New Roman" w:cs="Times New Roman"/>
          <w:color w:val="000000" w:themeColor="text1"/>
          <w:sz w:val="24"/>
          <w:szCs w:val="24"/>
        </w:rPr>
        <w:t xml:space="preserve"> characteristic nature considering different links with other businesses to come into place </w:t>
      </w:r>
      <w:r w:rsidR="00112759" w:rsidRPr="00B320BE">
        <w:rPr>
          <w:rFonts w:ascii="Times New Roman" w:hAnsi="Times New Roman" w:cs="Times New Roman"/>
          <w:color w:val="000000" w:themeColor="text1"/>
          <w:sz w:val="24"/>
          <w:szCs w:val="24"/>
        </w:rPr>
        <w:t xml:space="preserve">(Gillan, Koch and Starks, 2021). </w:t>
      </w:r>
      <w:r w:rsidRPr="00B320BE">
        <w:rPr>
          <w:rFonts w:ascii="Times New Roman" w:hAnsi="Times New Roman" w:cs="Times New Roman"/>
          <w:color w:val="000000" w:themeColor="text1"/>
          <w:sz w:val="24"/>
          <w:szCs w:val="24"/>
        </w:rPr>
        <w:t>The fund managers who are using V</w:t>
      </w:r>
      <w:r w:rsidR="00112759" w:rsidRPr="00B320BE">
        <w:rPr>
          <w:rFonts w:ascii="Times New Roman" w:hAnsi="Times New Roman" w:cs="Times New Roman"/>
          <w:color w:val="000000" w:themeColor="text1"/>
          <w:sz w:val="24"/>
          <w:szCs w:val="24"/>
        </w:rPr>
        <w:t>erheyden, Eccles &amp; Feiner</w:t>
      </w:r>
      <w:r w:rsidRPr="00B320BE">
        <w:rPr>
          <w:rFonts w:ascii="Times New Roman" w:hAnsi="Times New Roman" w:cs="Times New Roman"/>
          <w:color w:val="000000" w:themeColor="text1"/>
          <w:sz w:val="24"/>
          <w:szCs w:val="24"/>
        </w:rPr>
        <w:t xml:space="preserve">’s framework categorize the investment processes </w:t>
      </w:r>
      <w:r w:rsidR="000C52B7" w:rsidRPr="00B320BE">
        <w:rPr>
          <w:rFonts w:ascii="Times New Roman" w:hAnsi="Times New Roman" w:cs="Times New Roman"/>
          <w:color w:val="000000" w:themeColor="text1"/>
          <w:sz w:val="24"/>
          <w:szCs w:val="24"/>
        </w:rPr>
        <w:t>into</w:t>
      </w:r>
      <w:r w:rsidRPr="00B320BE">
        <w:rPr>
          <w:rFonts w:ascii="Times New Roman" w:hAnsi="Times New Roman" w:cs="Times New Roman"/>
          <w:color w:val="000000" w:themeColor="text1"/>
          <w:sz w:val="24"/>
          <w:szCs w:val="24"/>
        </w:rPr>
        <w:t xml:space="preserve"> two different perspectives regarding decision mak</w:t>
      </w:r>
      <w:r w:rsidR="00112759" w:rsidRPr="00B320BE">
        <w:rPr>
          <w:rFonts w:ascii="Times New Roman" w:hAnsi="Times New Roman" w:cs="Times New Roman"/>
          <w:color w:val="000000" w:themeColor="text1"/>
          <w:sz w:val="24"/>
          <w:szCs w:val="24"/>
        </w:rPr>
        <w:t xml:space="preserve">ing (Verheyden, Eccles and Feiner, 2016). </w:t>
      </w:r>
      <w:r w:rsidRPr="00B320BE">
        <w:rPr>
          <w:rFonts w:ascii="Times New Roman" w:hAnsi="Times New Roman" w:cs="Times New Roman"/>
          <w:color w:val="000000" w:themeColor="text1"/>
          <w:sz w:val="24"/>
          <w:szCs w:val="24"/>
        </w:rPr>
        <w:t xml:space="preserve">These classes include large, mid-cap stocks from developed as well emerging countries and Global All’s and “Global Developed Markets (DM)”. In this auspicious </w:t>
      </w:r>
      <w:r w:rsidR="000C52B7" w:rsidRPr="00B320BE">
        <w:rPr>
          <w:rFonts w:ascii="Times New Roman" w:hAnsi="Times New Roman" w:cs="Times New Roman"/>
          <w:color w:val="000000" w:themeColor="text1"/>
          <w:sz w:val="24"/>
          <w:szCs w:val="24"/>
        </w:rPr>
        <w:t>environment</w:t>
      </w:r>
      <w:r w:rsidRPr="00B320BE">
        <w:rPr>
          <w:rFonts w:ascii="Times New Roman" w:hAnsi="Times New Roman" w:cs="Times New Roman"/>
          <w:color w:val="000000" w:themeColor="text1"/>
          <w:sz w:val="24"/>
          <w:szCs w:val="24"/>
        </w:rPr>
        <w:t xml:space="preserve">, Giese </w:t>
      </w:r>
      <w:r w:rsidR="00FD13C0" w:rsidRPr="00B320BE">
        <w:rPr>
          <w:rFonts w:ascii="Times New Roman" w:hAnsi="Times New Roman" w:cs="Times New Roman"/>
          <w:color w:val="000000" w:themeColor="text1"/>
          <w:sz w:val="24"/>
          <w:szCs w:val="24"/>
        </w:rPr>
        <w:t>analyzes</w:t>
      </w:r>
      <w:r w:rsidRPr="00B320BE">
        <w:rPr>
          <w:rFonts w:ascii="Times New Roman" w:hAnsi="Times New Roman" w:cs="Times New Roman"/>
          <w:color w:val="000000" w:themeColor="text1"/>
          <w:sz w:val="24"/>
          <w:szCs w:val="24"/>
        </w:rPr>
        <w:t xml:space="preserve"> the complicated interdependent relationship between ESG-related risk and return on investment across various compositions of portfolios which are driven by </w:t>
      </w:r>
      <w:r w:rsidR="00FD13C0"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lastRenderedPageBreak/>
        <w:t>capitalization effect to define what can be its relative risk rating in terms of price structure at</w:t>
      </w:r>
      <w:r w:rsidR="00112759" w:rsidRPr="00B320BE">
        <w:rPr>
          <w:rFonts w:ascii="Times New Roman" w:hAnsi="Times New Roman" w:cs="Times New Roman"/>
          <w:color w:val="000000" w:themeColor="text1"/>
          <w:sz w:val="24"/>
          <w:szCs w:val="24"/>
        </w:rPr>
        <w:t xml:space="preserve"> valuation figures they receive (Giese et al., 2019).</w:t>
      </w:r>
    </w:p>
    <w:p w:rsidR="002902C0" w:rsidRPr="00B320BE" w:rsidRDefault="00484AF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According to De Luc</w:t>
      </w:r>
      <w:r w:rsidR="00112759" w:rsidRPr="00B320BE">
        <w:rPr>
          <w:rFonts w:ascii="Times New Roman" w:hAnsi="Times New Roman" w:cs="Times New Roman"/>
          <w:color w:val="000000" w:themeColor="text1"/>
          <w:sz w:val="24"/>
          <w:szCs w:val="24"/>
        </w:rPr>
        <w:t xml:space="preserve">ia, </w:t>
      </w:r>
      <w:r w:rsidRPr="00B320BE">
        <w:rPr>
          <w:rFonts w:ascii="Times New Roman" w:hAnsi="Times New Roman" w:cs="Times New Roman"/>
          <w:color w:val="000000" w:themeColor="text1"/>
          <w:sz w:val="24"/>
          <w:szCs w:val="24"/>
        </w:rPr>
        <w:t xml:space="preserve">involved investments and ESG factors related to environmental topics; diversity matters with inclusions of some social categories or aspects must have been applied at an evenness level </w:t>
      </w:r>
      <w:r w:rsidR="00FD13C0" w:rsidRPr="00B320BE">
        <w:rPr>
          <w:rFonts w:ascii="Times New Roman" w:hAnsi="Times New Roman" w:cs="Times New Roman"/>
          <w:color w:val="000000" w:themeColor="text1"/>
          <w:sz w:val="24"/>
          <w:szCs w:val="24"/>
        </w:rPr>
        <w:t>by</w:t>
      </w:r>
      <w:r w:rsidRPr="00B320BE">
        <w:rPr>
          <w:rFonts w:ascii="Times New Roman" w:hAnsi="Times New Roman" w:cs="Times New Roman"/>
          <w:color w:val="000000" w:themeColor="text1"/>
          <w:sz w:val="24"/>
          <w:szCs w:val="24"/>
        </w:rPr>
        <w:t xml:space="preserve"> meaning after a year from that time the previous description was done because an additional credit was also admitted within past view about this three pillar concept which The Pillars constitute environment with the components of solid waste and climate change from a human rights or cultural standpoint; implying that social determinants such as policies governing society’s structure laws aimed at curbing malpractices involving openness in society</w:t>
      </w:r>
      <w:r w:rsidR="00112759" w:rsidRPr="00B320BE">
        <w:rPr>
          <w:rFonts w:ascii="Times New Roman" w:hAnsi="Times New Roman" w:cs="Times New Roman"/>
          <w:color w:val="000000" w:themeColor="text1"/>
          <w:sz w:val="24"/>
          <w:szCs w:val="24"/>
        </w:rPr>
        <w:t xml:space="preserve"> (De Lucia, Pazienza and Bartlett, 2020).</w:t>
      </w:r>
    </w:p>
    <w:p w:rsidR="00A157DB" w:rsidRPr="00B320BE" w:rsidRDefault="00A157DB"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This elaborate assessment is augmented with a broad range of literature. Key articles such as "Environmental, Social, and Governance Integration into the Business Model" by Aldowaish and "ESG: Their research paper “Research Progress and Future Prospects” (Li et al., 2021) serve as a source that both </w:t>
      </w:r>
      <w:r w:rsidR="003B7BD2" w:rsidRPr="00B320BE">
        <w:rPr>
          <w:rFonts w:ascii="Times New Roman" w:hAnsi="Times New Roman" w:cs="Times New Roman"/>
          <w:color w:val="000000" w:themeColor="text1"/>
          <w:sz w:val="24"/>
          <w:szCs w:val="24"/>
        </w:rPr>
        <w:t>summarize</w:t>
      </w:r>
      <w:r w:rsidRPr="00B320BE">
        <w:rPr>
          <w:rFonts w:ascii="Times New Roman" w:hAnsi="Times New Roman" w:cs="Times New Roman"/>
          <w:color w:val="000000" w:themeColor="text1"/>
          <w:sz w:val="24"/>
          <w:szCs w:val="24"/>
        </w:rPr>
        <w:t xml:space="preserve"> the world’s knowledge while defining directio</w:t>
      </w:r>
      <w:r w:rsidR="003B7BD2" w:rsidRPr="00B320BE">
        <w:rPr>
          <w:rFonts w:ascii="Times New Roman" w:hAnsi="Times New Roman" w:cs="Times New Roman"/>
          <w:color w:val="000000" w:themeColor="text1"/>
          <w:sz w:val="24"/>
          <w:szCs w:val="24"/>
        </w:rPr>
        <w:t>n for future work in this field (Aldowaish et al., 2022).</w:t>
      </w:r>
      <w:r w:rsidRPr="00B320BE">
        <w:rPr>
          <w:rFonts w:ascii="Times New Roman" w:hAnsi="Times New Roman" w:cs="Times New Roman"/>
          <w:color w:val="000000" w:themeColor="text1"/>
          <w:sz w:val="24"/>
          <w:szCs w:val="24"/>
        </w:rPr>
        <w:t xml:space="preserve"> What Hvidkjær synthesizes as a fully comprehensive literature review of ESG examining the complexity related to environmental, social, and governance due to differentiation between </w:t>
      </w:r>
      <w:r w:rsidR="00623495" w:rsidRPr="00B320BE">
        <w:rPr>
          <w:rFonts w:ascii="Times New Roman" w:hAnsi="Times New Roman" w:cs="Times New Roman"/>
          <w:color w:val="000000" w:themeColor="text1"/>
          <w:sz w:val="24"/>
          <w:szCs w:val="24"/>
        </w:rPr>
        <w:t>years</w:t>
      </w:r>
      <w:r w:rsidRPr="00B320BE">
        <w:rPr>
          <w:rFonts w:ascii="Times New Roman" w:hAnsi="Times New Roman" w:cs="Times New Roman"/>
          <w:color w:val="000000" w:themeColor="text1"/>
          <w:sz w:val="24"/>
          <w:szCs w:val="24"/>
        </w:rPr>
        <w:t xml:space="preserve"> showcase</w:t>
      </w:r>
      <w:r w:rsidR="003B7BD2" w:rsidRPr="00B320BE">
        <w:rPr>
          <w:rFonts w:ascii="Times New Roman" w:hAnsi="Times New Roman" w:cs="Times New Roman"/>
          <w:color w:val="000000" w:themeColor="text1"/>
          <w:sz w:val="24"/>
          <w:szCs w:val="24"/>
        </w:rPr>
        <w:t>s these following elements (Hvidkjær, 2017).</w:t>
      </w:r>
    </w:p>
    <w:p w:rsidR="00411F1E" w:rsidRPr="00B320BE" w:rsidRDefault="003B7BD2"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Roy Henriksson focuses</w:t>
      </w:r>
      <w:r w:rsidR="00A157DB" w:rsidRPr="00B320BE">
        <w:rPr>
          <w:rFonts w:ascii="Times New Roman" w:hAnsi="Times New Roman" w:cs="Times New Roman"/>
          <w:color w:val="000000" w:themeColor="text1"/>
          <w:sz w:val="24"/>
          <w:szCs w:val="24"/>
        </w:rPr>
        <w:t xml:space="preserve"> attention </w:t>
      </w:r>
      <w:r w:rsidR="000C52B7" w:rsidRPr="00B320BE">
        <w:rPr>
          <w:rFonts w:ascii="Times New Roman" w:hAnsi="Times New Roman" w:cs="Times New Roman"/>
          <w:color w:val="000000" w:themeColor="text1"/>
          <w:sz w:val="24"/>
          <w:szCs w:val="24"/>
        </w:rPr>
        <w:t>on</w:t>
      </w:r>
      <w:r w:rsidR="00A157DB" w:rsidRPr="00B320BE">
        <w:rPr>
          <w:rFonts w:ascii="Times New Roman" w:hAnsi="Times New Roman" w:cs="Times New Roman"/>
          <w:color w:val="000000" w:themeColor="text1"/>
          <w:sz w:val="24"/>
          <w:szCs w:val="24"/>
        </w:rPr>
        <w:t xml:space="preserve"> the economic benefits of ESG </w:t>
      </w:r>
      <w:r w:rsidR="000C52B7" w:rsidRPr="00B320BE">
        <w:rPr>
          <w:rFonts w:ascii="Times New Roman" w:hAnsi="Times New Roman" w:cs="Times New Roman"/>
          <w:color w:val="000000" w:themeColor="text1"/>
          <w:sz w:val="24"/>
          <w:szCs w:val="24"/>
        </w:rPr>
        <w:t>concerning</w:t>
      </w:r>
      <w:r w:rsidR="00A157DB" w:rsidRPr="00B320BE">
        <w:rPr>
          <w:rFonts w:ascii="Times New Roman" w:hAnsi="Times New Roman" w:cs="Times New Roman"/>
          <w:color w:val="000000" w:themeColor="text1"/>
          <w:sz w:val="24"/>
          <w:szCs w:val="24"/>
        </w:rPr>
        <w:t xml:space="preserve"> the cost of capital as companies having a better performing score on Diagno rule 5 often enjoy improved borrowing terms and high credit rating so equity costs a</w:t>
      </w:r>
      <w:r w:rsidRPr="00B320BE">
        <w:rPr>
          <w:rFonts w:ascii="Times New Roman" w:hAnsi="Times New Roman" w:cs="Times New Roman"/>
          <w:color w:val="000000" w:themeColor="text1"/>
          <w:sz w:val="24"/>
          <w:szCs w:val="24"/>
        </w:rPr>
        <w:t xml:space="preserve">re cheaper than in other cases (Henriksson et al., 2018). </w:t>
      </w:r>
      <w:r w:rsidR="00A157DB" w:rsidRPr="00B320BE">
        <w:rPr>
          <w:rFonts w:ascii="Times New Roman" w:hAnsi="Times New Roman" w:cs="Times New Roman"/>
          <w:color w:val="000000" w:themeColor="text1"/>
          <w:sz w:val="24"/>
          <w:szCs w:val="24"/>
        </w:rPr>
        <w:t>On the one hand, the core focus of Gillan is on much-required ESG and CSR research in corporate finance as they bring environmental considerations into integrated themes broad compassions [adherence to social responsibility] On the other</w:t>
      </w:r>
      <w:r w:rsidRPr="00B320BE">
        <w:rPr>
          <w:rFonts w:ascii="Times New Roman" w:hAnsi="Times New Roman" w:cs="Times New Roman"/>
          <w:color w:val="000000" w:themeColor="text1"/>
          <w:sz w:val="24"/>
          <w:szCs w:val="24"/>
        </w:rPr>
        <w:t xml:space="preserve"> hand, Oualaid Janah and Sassi </w:t>
      </w:r>
      <w:r w:rsidR="00A157DB" w:rsidRPr="00B320BE">
        <w:rPr>
          <w:rFonts w:ascii="Times New Roman" w:hAnsi="Times New Roman" w:cs="Times New Roman"/>
          <w:color w:val="000000" w:themeColor="text1"/>
          <w:sz w:val="24"/>
          <w:szCs w:val="24"/>
        </w:rPr>
        <w:t>study ESG links with corporate performance in an emerging market using another approach to take into accoun</w:t>
      </w:r>
      <w:r w:rsidRPr="00B320BE">
        <w:rPr>
          <w:rFonts w:ascii="Times New Roman" w:hAnsi="Times New Roman" w:cs="Times New Roman"/>
          <w:color w:val="000000" w:themeColor="text1"/>
          <w:sz w:val="24"/>
          <w:szCs w:val="24"/>
        </w:rPr>
        <w:t>t firm-specific characteristics (Oualaid and Sassi, 2021).</w:t>
      </w:r>
      <w:r w:rsidR="00A157DB" w:rsidRPr="00B320BE">
        <w:rPr>
          <w:rFonts w:ascii="Times New Roman" w:hAnsi="Times New Roman" w:cs="Times New Roman"/>
          <w:color w:val="000000" w:themeColor="text1"/>
          <w:sz w:val="24"/>
          <w:szCs w:val="24"/>
        </w:rPr>
        <w:t xml:space="preserve"> Literature as a whole </w:t>
      </w:r>
      <w:r w:rsidR="00623495" w:rsidRPr="00B320BE">
        <w:rPr>
          <w:rFonts w:ascii="Times New Roman" w:hAnsi="Times New Roman" w:cs="Times New Roman"/>
          <w:color w:val="000000" w:themeColor="text1"/>
          <w:sz w:val="24"/>
          <w:szCs w:val="24"/>
        </w:rPr>
        <w:t>helps</w:t>
      </w:r>
      <w:r w:rsidR="00A157DB" w:rsidRPr="00B320BE">
        <w:rPr>
          <w:rFonts w:ascii="Times New Roman" w:hAnsi="Times New Roman" w:cs="Times New Roman"/>
          <w:color w:val="000000" w:themeColor="text1"/>
          <w:sz w:val="24"/>
          <w:szCs w:val="24"/>
        </w:rPr>
        <w:t xml:space="preserve"> to define </w:t>
      </w:r>
      <w:r w:rsidR="000C52B7" w:rsidRPr="00B320BE">
        <w:rPr>
          <w:rFonts w:ascii="Times New Roman" w:hAnsi="Times New Roman" w:cs="Times New Roman"/>
          <w:color w:val="000000" w:themeColor="text1"/>
          <w:sz w:val="24"/>
          <w:szCs w:val="24"/>
        </w:rPr>
        <w:t xml:space="preserve">the </w:t>
      </w:r>
      <w:r w:rsidR="00A157DB" w:rsidRPr="00B320BE">
        <w:rPr>
          <w:rFonts w:ascii="Times New Roman" w:hAnsi="Times New Roman" w:cs="Times New Roman"/>
          <w:color w:val="000000" w:themeColor="text1"/>
          <w:sz w:val="24"/>
          <w:szCs w:val="24"/>
        </w:rPr>
        <w:t xml:space="preserve">standards framework in which ESG integration is performed, </w:t>
      </w:r>
      <w:r w:rsidR="000C52B7" w:rsidRPr="00B320BE">
        <w:rPr>
          <w:rFonts w:ascii="Times New Roman" w:hAnsi="Times New Roman" w:cs="Times New Roman"/>
          <w:color w:val="000000" w:themeColor="text1"/>
          <w:sz w:val="24"/>
          <w:szCs w:val="24"/>
        </w:rPr>
        <w:t>where</w:t>
      </w:r>
      <w:r w:rsidR="00A157DB" w:rsidRPr="00B320BE">
        <w:rPr>
          <w:rFonts w:ascii="Times New Roman" w:hAnsi="Times New Roman" w:cs="Times New Roman"/>
          <w:color w:val="000000" w:themeColor="text1"/>
          <w:sz w:val="24"/>
          <w:szCs w:val="24"/>
        </w:rPr>
        <w:t xml:space="preserve"> critical analysis of the process and implemented mechanisms will be done</w:t>
      </w:r>
      <w:r w:rsidR="00411F1E" w:rsidRPr="00B320BE">
        <w:rPr>
          <w:rFonts w:ascii="Times New Roman" w:hAnsi="Times New Roman" w:cs="Times New Roman"/>
          <w:color w:val="000000" w:themeColor="text1"/>
          <w:sz w:val="24"/>
          <w:szCs w:val="24"/>
        </w:rPr>
        <w:t>.</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411F1E" w:rsidRPr="00B320BE" w:rsidRDefault="00411F1E" w:rsidP="00B320BE">
      <w:pPr>
        <w:pStyle w:val="Heading2"/>
        <w:spacing w:line="360" w:lineRule="auto"/>
        <w:jc w:val="both"/>
        <w:rPr>
          <w:rFonts w:ascii="Times New Roman" w:hAnsi="Times New Roman" w:cs="Times New Roman"/>
          <w:b/>
          <w:color w:val="000000" w:themeColor="text1"/>
          <w:sz w:val="24"/>
          <w:szCs w:val="24"/>
        </w:rPr>
      </w:pPr>
      <w:bookmarkStart w:id="22" w:name="_Toc156676256"/>
      <w:bookmarkStart w:id="23" w:name="_Toc156845971"/>
      <w:r w:rsidRPr="00B320BE">
        <w:rPr>
          <w:rFonts w:ascii="Times New Roman" w:hAnsi="Times New Roman" w:cs="Times New Roman"/>
          <w:b/>
          <w:color w:val="000000" w:themeColor="text1"/>
          <w:sz w:val="24"/>
          <w:szCs w:val="24"/>
        </w:rPr>
        <w:lastRenderedPageBreak/>
        <w:t>ESG Pillars and Framework</w:t>
      </w:r>
      <w:bookmarkEnd w:id="22"/>
      <w:bookmarkEnd w:id="23"/>
    </w:p>
    <w:p w:rsidR="002902C0" w:rsidRPr="00B320BE" w:rsidRDefault="002902C0"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ESG dimensions have been well understood from the literature as they work to encompass a detailed interpretation of each pillar, sorting out the complexity that results from corporate actions and responsibilities.</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2902C0" w:rsidRPr="00B320BE" w:rsidRDefault="0020133B" w:rsidP="00B320BE">
      <w:pPr>
        <w:pStyle w:val="Heading3"/>
        <w:spacing w:line="360" w:lineRule="auto"/>
        <w:jc w:val="both"/>
        <w:rPr>
          <w:rFonts w:ascii="Times New Roman" w:hAnsi="Times New Roman" w:cs="Times New Roman"/>
          <w:b/>
          <w:color w:val="000000" w:themeColor="text1"/>
        </w:rPr>
      </w:pPr>
      <w:bookmarkStart w:id="24" w:name="_Toc156676257"/>
      <w:bookmarkStart w:id="25" w:name="_Toc156845972"/>
      <w:r w:rsidRPr="00B320BE">
        <w:rPr>
          <w:rFonts w:ascii="Times New Roman" w:hAnsi="Times New Roman" w:cs="Times New Roman"/>
          <w:b/>
          <w:color w:val="000000" w:themeColor="text1"/>
        </w:rPr>
        <w:t>Environmental Pillar (E)</w:t>
      </w:r>
      <w:bookmarkEnd w:id="24"/>
      <w:bookmarkEnd w:id="25"/>
    </w:p>
    <w:p w:rsidR="002902C0" w:rsidRDefault="002902C0"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Waste Reduction, Natural Resources, and Climate Change: The first pillar, Environment (E), referred to by Verheyden </w:t>
      </w:r>
      <w:r w:rsidR="003B7BD2" w:rsidRPr="00B320BE">
        <w:rPr>
          <w:rFonts w:ascii="Times New Roman" w:hAnsi="Times New Roman" w:cs="Times New Roman"/>
          <w:color w:val="000000" w:themeColor="text1"/>
          <w:sz w:val="24"/>
          <w:szCs w:val="24"/>
        </w:rPr>
        <w:t>sheds</w:t>
      </w:r>
      <w:r w:rsidRPr="00B320BE">
        <w:rPr>
          <w:rFonts w:ascii="Times New Roman" w:hAnsi="Times New Roman" w:cs="Times New Roman"/>
          <w:color w:val="000000" w:themeColor="text1"/>
          <w:sz w:val="24"/>
          <w:szCs w:val="24"/>
        </w:rPr>
        <w:t xml:space="preserve"> light on ESG integration in the business model, stressing systematic searches and reviews as a means to unpack an otherwise intricate relationship between s</w:t>
      </w:r>
      <w:r w:rsidR="003B7BD2" w:rsidRPr="00B320BE">
        <w:rPr>
          <w:rFonts w:ascii="Times New Roman" w:hAnsi="Times New Roman" w:cs="Times New Roman"/>
          <w:color w:val="000000" w:themeColor="text1"/>
          <w:sz w:val="24"/>
          <w:szCs w:val="24"/>
        </w:rPr>
        <w:t xml:space="preserve">ustainable development and ESG (Karuppiah, Sankaranarayanan and Ali, 2023). </w:t>
      </w:r>
      <w:r w:rsidRPr="00B320BE">
        <w:rPr>
          <w:rFonts w:ascii="Times New Roman" w:hAnsi="Times New Roman" w:cs="Times New Roman"/>
          <w:color w:val="000000" w:themeColor="text1"/>
          <w:sz w:val="24"/>
          <w:szCs w:val="24"/>
        </w:rPr>
        <w:t>Besides, the literature including Robinson in 2019 emphasizes ESG in Commercial Real Estate which portrays the relationship between the built enviro</w:t>
      </w:r>
      <w:r w:rsidR="003B7BD2" w:rsidRPr="00B320BE">
        <w:rPr>
          <w:rFonts w:ascii="Times New Roman" w:hAnsi="Times New Roman" w:cs="Times New Roman"/>
          <w:color w:val="000000" w:themeColor="text1"/>
          <w:sz w:val="24"/>
          <w:szCs w:val="24"/>
        </w:rPr>
        <w:t>nment and environmental aspects (Robinson and McIntosh, 2022).</w:t>
      </w:r>
    </w:p>
    <w:p w:rsidR="006A25FF" w:rsidRDefault="006A25FF" w:rsidP="00B320BE">
      <w:pPr>
        <w:spacing w:line="360" w:lineRule="auto"/>
        <w:jc w:val="both"/>
        <w:rPr>
          <w:rFonts w:ascii="Times New Roman" w:hAnsi="Times New Roman" w:cs="Times New Roman"/>
          <w:color w:val="000000" w:themeColor="text1"/>
          <w:sz w:val="24"/>
          <w:szCs w:val="24"/>
        </w:rPr>
      </w:pPr>
    </w:p>
    <w:p w:rsidR="006A25FF" w:rsidRDefault="006A25FF" w:rsidP="006A25FF">
      <w:pPr>
        <w:keepNext/>
        <w:spacing w:line="360" w:lineRule="auto"/>
      </w:pPr>
      <w:r w:rsidRPr="006A25FF">
        <w:rPr>
          <w:rFonts w:ascii="Times New Roman" w:hAnsi="Times New Roman" w:cs="Times New Roman"/>
          <w:color w:val="000000" w:themeColor="text1"/>
          <w:sz w:val="24"/>
          <w:szCs w:val="24"/>
        </w:rPr>
        <w:drawing>
          <wp:inline distT="0" distB="0" distL="0" distR="0" wp14:anchorId="1B4663CA" wp14:editId="766EEEF5">
            <wp:extent cx="5942655" cy="3137338"/>
            <wp:effectExtent l="76200" t="76200" r="134620" b="139700"/>
            <wp:docPr id="17" name="Picture 17" descr="https://www.xriwater.com/wp-content/uploads/2021/07/ESG_infographic-1536x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xriwater.com/wp-content/uploads/2021/07/ESG_infographic-1536x741.png"/>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960771" cy="31469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A25FF" w:rsidRPr="006A25FF" w:rsidRDefault="006A25FF" w:rsidP="006A25FF">
      <w:pPr>
        <w:pStyle w:val="Caption"/>
        <w:rPr>
          <w:rFonts w:ascii="Times New Roman" w:hAnsi="Times New Roman" w:cs="Times New Roman"/>
          <w:b/>
          <w:i w:val="0"/>
          <w:color w:val="auto"/>
          <w:sz w:val="24"/>
          <w:szCs w:val="24"/>
        </w:rPr>
      </w:pPr>
      <w:r>
        <w:rPr>
          <w:rFonts w:ascii="Times New Roman" w:hAnsi="Times New Roman" w:cs="Times New Roman"/>
          <w:b/>
          <w:i w:val="0"/>
          <w:color w:val="auto"/>
          <w:sz w:val="24"/>
          <w:szCs w:val="24"/>
        </w:rPr>
        <w:t xml:space="preserve"> </w:t>
      </w:r>
      <w:bookmarkStart w:id="26" w:name="_Toc156846078"/>
      <w:r w:rsidRPr="006A25FF">
        <w:rPr>
          <w:rFonts w:ascii="Times New Roman" w:hAnsi="Times New Roman" w:cs="Times New Roman"/>
          <w:b/>
          <w:i w:val="0"/>
          <w:color w:val="auto"/>
          <w:sz w:val="24"/>
          <w:szCs w:val="24"/>
        </w:rPr>
        <w:t xml:space="preserve">Figure </w:t>
      </w:r>
      <w:r w:rsidRPr="006A25FF">
        <w:rPr>
          <w:rFonts w:ascii="Times New Roman" w:hAnsi="Times New Roman" w:cs="Times New Roman"/>
          <w:b/>
          <w:i w:val="0"/>
          <w:color w:val="auto"/>
          <w:sz w:val="24"/>
          <w:szCs w:val="24"/>
        </w:rPr>
        <w:fldChar w:fldCharType="begin"/>
      </w:r>
      <w:r w:rsidRPr="006A25FF">
        <w:rPr>
          <w:rFonts w:ascii="Times New Roman" w:hAnsi="Times New Roman" w:cs="Times New Roman"/>
          <w:b/>
          <w:i w:val="0"/>
          <w:color w:val="auto"/>
          <w:sz w:val="24"/>
          <w:szCs w:val="24"/>
        </w:rPr>
        <w:instrText xml:space="preserve"> SEQ Figure \* ARABIC </w:instrText>
      </w:r>
      <w:r w:rsidRPr="006A25FF">
        <w:rPr>
          <w:rFonts w:ascii="Times New Roman" w:hAnsi="Times New Roman" w:cs="Times New Roman"/>
          <w:b/>
          <w:i w:val="0"/>
          <w:color w:val="auto"/>
          <w:sz w:val="24"/>
          <w:szCs w:val="24"/>
        </w:rPr>
        <w:fldChar w:fldCharType="separate"/>
      </w:r>
      <w:r w:rsidR="00FE2A81">
        <w:rPr>
          <w:rFonts w:ascii="Times New Roman" w:hAnsi="Times New Roman" w:cs="Times New Roman"/>
          <w:b/>
          <w:i w:val="0"/>
          <w:noProof/>
          <w:color w:val="auto"/>
          <w:sz w:val="24"/>
          <w:szCs w:val="24"/>
        </w:rPr>
        <w:t>2</w:t>
      </w:r>
      <w:bookmarkEnd w:id="26"/>
      <w:r w:rsidRPr="006A25FF">
        <w:rPr>
          <w:rFonts w:ascii="Times New Roman" w:hAnsi="Times New Roman" w:cs="Times New Roman"/>
          <w:b/>
          <w:i w:val="0"/>
          <w:color w:val="auto"/>
          <w:sz w:val="24"/>
          <w:szCs w:val="24"/>
        </w:rPr>
        <w:fldChar w:fldCharType="end"/>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2902C0" w:rsidRPr="00B320BE" w:rsidRDefault="0020133B" w:rsidP="00B320BE">
      <w:pPr>
        <w:pStyle w:val="Heading3"/>
        <w:spacing w:line="360" w:lineRule="auto"/>
        <w:jc w:val="both"/>
        <w:rPr>
          <w:rFonts w:ascii="Times New Roman" w:hAnsi="Times New Roman" w:cs="Times New Roman"/>
          <w:b/>
          <w:color w:val="000000" w:themeColor="text1"/>
        </w:rPr>
      </w:pPr>
      <w:bookmarkStart w:id="27" w:name="_Toc156676258"/>
      <w:bookmarkStart w:id="28" w:name="_Toc156845973"/>
      <w:r w:rsidRPr="00B320BE">
        <w:rPr>
          <w:rFonts w:ascii="Times New Roman" w:hAnsi="Times New Roman" w:cs="Times New Roman"/>
          <w:b/>
          <w:color w:val="000000" w:themeColor="text1"/>
        </w:rPr>
        <w:lastRenderedPageBreak/>
        <w:t>Social Pillar (S)</w:t>
      </w:r>
      <w:bookmarkEnd w:id="27"/>
      <w:bookmarkEnd w:id="28"/>
    </w:p>
    <w:p w:rsidR="00A157DB" w:rsidRPr="00B320BE" w:rsidRDefault="00A157DB"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Working Conditions, Human Rights, Diversity, Inclusion, Equity, and Justice: The Social (S) pillar, formed according to De Lucia is concerned with the way the company influences society and </w:t>
      </w:r>
      <w:r w:rsidR="000C52B7"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local environment in which it carries out its operations. It goes as far from staff-related problems such as human rights, working environment conditions, diversities</w:t>
      </w:r>
      <w:r w:rsidR="000C52B7"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inclusion to equality between employees’ supply or provision of products/service promises. Notably, the literature of Widyawati is a meta-analysis </w:t>
      </w:r>
      <w:r w:rsidR="000C52B7" w:rsidRPr="00B320BE">
        <w:rPr>
          <w:rFonts w:ascii="Times New Roman" w:hAnsi="Times New Roman" w:cs="Times New Roman"/>
          <w:color w:val="000000" w:themeColor="text1"/>
          <w:sz w:val="24"/>
          <w:szCs w:val="24"/>
        </w:rPr>
        <w:t>of</w:t>
      </w:r>
      <w:r w:rsidRPr="00B320BE">
        <w:rPr>
          <w:rFonts w:ascii="Times New Roman" w:hAnsi="Times New Roman" w:cs="Times New Roman"/>
          <w:color w:val="000000" w:themeColor="text1"/>
          <w:sz w:val="24"/>
          <w:szCs w:val="24"/>
        </w:rPr>
        <w:t xml:space="preserve"> SRI and ESG indicators which </w:t>
      </w:r>
      <w:r w:rsidR="000C52B7" w:rsidRPr="00B320BE">
        <w:rPr>
          <w:rFonts w:ascii="Times New Roman" w:hAnsi="Times New Roman" w:cs="Times New Roman"/>
          <w:color w:val="000000" w:themeColor="text1"/>
          <w:sz w:val="24"/>
          <w:szCs w:val="24"/>
        </w:rPr>
        <w:t>proves</w:t>
      </w:r>
      <w:r w:rsidRPr="00B320BE">
        <w:rPr>
          <w:rFonts w:ascii="Times New Roman" w:hAnsi="Times New Roman" w:cs="Times New Roman"/>
          <w:color w:val="000000" w:themeColor="text1"/>
          <w:sz w:val="24"/>
          <w:szCs w:val="24"/>
        </w:rPr>
        <w:t xml:space="preserve"> that social side effe</w:t>
      </w:r>
      <w:r w:rsidR="00627C07" w:rsidRPr="00B320BE">
        <w:rPr>
          <w:rFonts w:ascii="Times New Roman" w:hAnsi="Times New Roman" w:cs="Times New Roman"/>
          <w:color w:val="000000" w:themeColor="text1"/>
          <w:sz w:val="24"/>
          <w:szCs w:val="24"/>
        </w:rPr>
        <w:t>cts affect investment decisions (Kurniawati et al., 2018).</w:t>
      </w:r>
    </w:p>
    <w:p w:rsidR="00A157DB" w:rsidRPr="00B320BE" w:rsidRDefault="00A157DB" w:rsidP="00B320BE">
      <w:pPr>
        <w:spacing w:line="360" w:lineRule="auto"/>
        <w:jc w:val="both"/>
        <w:rPr>
          <w:rFonts w:ascii="Times New Roman" w:hAnsi="Times New Roman" w:cs="Times New Roman"/>
          <w:color w:val="000000" w:themeColor="text1"/>
          <w:sz w:val="24"/>
          <w:szCs w:val="24"/>
        </w:rPr>
      </w:pPr>
    </w:p>
    <w:p w:rsidR="00A157DB" w:rsidRPr="00B320BE" w:rsidRDefault="000C52B7" w:rsidP="00B320BE">
      <w:pPr>
        <w:pStyle w:val="Heading3"/>
        <w:spacing w:line="360" w:lineRule="auto"/>
        <w:jc w:val="both"/>
        <w:rPr>
          <w:rFonts w:ascii="Times New Roman" w:hAnsi="Times New Roman" w:cs="Times New Roman"/>
          <w:b/>
          <w:color w:val="000000" w:themeColor="text1"/>
        </w:rPr>
      </w:pPr>
      <w:bookmarkStart w:id="29" w:name="_Toc156676259"/>
      <w:bookmarkStart w:id="30" w:name="_Toc156845974"/>
      <w:r w:rsidRPr="00B320BE">
        <w:rPr>
          <w:rFonts w:ascii="Times New Roman" w:hAnsi="Times New Roman" w:cs="Times New Roman"/>
          <w:b/>
          <w:color w:val="000000" w:themeColor="text1"/>
        </w:rPr>
        <w:t>Governance</w:t>
      </w:r>
      <w:r w:rsidR="0020133B" w:rsidRPr="00B320BE">
        <w:rPr>
          <w:rFonts w:ascii="Times New Roman" w:hAnsi="Times New Roman" w:cs="Times New Roman"/>
          <w:b/>
          <w:color w:val="000000" w:themeColor="text1"/>
        </w:rPr>
        <w:t xml:space="preserve"> Pillar (G)</w:t>
      </w:r>
      <w:bookmarkEnd w:id="29"/>
      <w:bookmarkEnd w:id="30"/>
    </w:p>
    <w:p w:rsidR="002902C0" w:rsidRPr="00B320BE" w:rsidRDefault="000C52B7"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Organizational</w:t>
      </w:r>
      <w:r w:rsidR="00A157DB" w:rsidRPr="00B320BE">
        <w:rPr>
          <w:rFonts w:ascii="Times New Roman" w:hAnsi="Times New Roman" w:cs="Times New Roman"/>
          <w:color w:val="000000" w:themeColor="text1"/>
          <w:sz w:val="24"/>
          <w:szCs w:val="24"/>
        </w:rPr>
        <w:t xml:space="preserve"> Structure, Policies, Corruption, Compensation, and Donation: The G pillar focuses on corporate governance which involves how management leads to </w:t>
      </w:r>
      <w:r w:rsidRPr="00B320BE">
        <w:rPr>
          <w:rFonts w:ascii="Times New Roman" w:hAnsi="Times New Roman" w:cs="Times New Roman"/>
          <w:color w:val="000000" w:themeColor="text1"/>
          <w:sz w:val="24"/>
          <w:szCs w:val="24"/>
        </w:rPr>
        <w:t xml:space="preserve">the </w:t>
      </w:r>
      <w:r w:rsidR="00A157DB" w:rsidRPr="00B320BE">
        <w:rPr>
          <w:rFonts w:ascii="Times New Roman" w:hAnsi="Times New Roman" w:cs="Times New Roman"/>
          <w:color w:val="000000" w:themeColor="text1"/>
          <w:sz w:val="24"/>
          <w:szCs w:val="24"/>
        </w:rPr>
        <w:t>end-use of power. This refers to matters such as organizational structure, policy corruption, payment</w:t>
      </w:r>
      <w:r w:rsidRPr="00B320BE">
        <w:rPr>
          <w:rFonts w:ascii="Times New Roman" w:hAnsi="Times New Roman" w:cs="Times New Roman"/>
          <w:color w:val="000000" w:themeColor="text1"/>
          <w:sz w:val="24"/>
          <w:szCs w:val="24"/>
        </w:rPr>
        <w:t>,</w:t>
      </w:r>
      <w:r w:rsidR="00A157DB" w:rsidRPr="00B320BE">
        <w:rPr>
          <w:rFonts w:ascii="Times New Roman" w:hAnsi="Times New Roman" w:cs="Times New Roman"/>
          <w:color w:val="000000" w:themeColor="text1"/>
          <w:sz w:val="24"/>
          <w:szCs w:val="24"/>
        </w:rPr>
        <w:t xml:space="preserve"> and contributions. ESG integration into </w:t>
      </w:r>
      <w:r w:rsidRPr="00B320BE">
        <w:rPr>
          <w:rFonts w:ascii="Times New Roman" w:hAnsi="Times New Roman" w:cs="Times New Roman"/>
          <w:color w:val="000000" w:themeColor="text1"/>
          <w:sz w:val="24"/>
          <w:szCs w:val="24"/>
        </w:rPr>
        <w:t xml:space="preserve">the </w:t>
      </w:r>
      <w:r w:rsidR="00A157DB" w:rsidRPr="00B320BE">
        <w:rPr>
          <w:rFonts w:ascii="Times New Roman" w:hAnsi="Times New Roman" w:cs="Times New Roman"/>
          <w:color w:val="000000" w:themeColor="text1"/>
          <w:sz w:val="24"/>
          <w:szCs w:val="24"/>
        </w:rPr>
        <w:t xml:space="preserve">business </w:t>
      </w:r>
      <w:r w:rsidRPr="00B320BE">
        <w:rPr>
          <w:rFonts w:ascii="Times New Roman" w:hAnsi="Times New Roman" w:cs="Times New Roman"/>
          <w:color w:val="000000" w:themeColor="text1"/>
          <w:sz w:val="24"/>
          <w:szCs w:val="24"/>
        </w:rPr>
        <w:t>modeling</w:t>
      </w:r>
      <w:r w:rsidR="00A157DB" w:rsidRPr="00B320BE">
        <w:rPr>
          <w:rFonts w:ascii="Times New Roman" w:hAnsi="Times New Roman" w:cs="Times New Roman"/>
          <w:color w:val="000000" w:themeColor="text1"/>
          <w:sz w:val="24"/>
          <w:szCs w:val="24"/>
        </w:rPr>
        <w:t xml:space="preserve"> literature of Aldowaish, governance is established </w:t>
      </w:r>
      <w:r w:rsidRPr="00B320BE">
        <w:rPr>
          <w:rFonts w:ascii="Times New Roman" w:hAnsi="Times New Roman" w:cs="Times New Roman"/>
          <w:color w:val="000000" w:themeColor="text1"/>
          <w:sz w:val="24"/>
          <w:szCs w:val="24"/>
        </w:rPr>
        <w:t xml:space="preserve">as </w:t>
      </w:r>
      <w:r w:rsidR="00A157DB" w:rsidRPr="00B320BE">
        <w:rPr>
          <w:rFonts w:ascii="Times New Roman" w:hAnsi="Times New Roman" w:cs="Times New Roman"/>
          <w:color w:val="000000" w:themeColor="text1"/>
          <w:sz w:val="24"/>
          <w:szCs w:val="24"/>
        </w:rPr>
        <w:t>a critical aspect revealing the influence practices had socially responsible investments as well sustainable development aspects associated with them</w:t>
      </w:r>
      <w:r w:rsidR="002902C0" w:rsidRPr="00B320BE">
        <w:rPr>
          <w:rFonts w:ascii="Times New Roman" w:hAnsi="Times New Roman" w:cs="Times New Roman"/>
          <w:color w:val="000000" w:themeColor="text1"/>
          <w:sz w:val="24"/>
          <w:szCs w:val="24"/>
        </w:rPr>
        <w:t>.</w:t>
      </w:r>
    </w:p>
    <w:p w:rsidR="002902C0" w:rsidRPr="00B320BE" w:rsidRDefault="002902C0"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holistic approach to corporation actions evaluation and responsibilities is formed by the three-pillar framework—Environment, Social, and Governance. This framework, clarified and composed by many studies, is a basic background for the evaluation of ESG's influence on financial results. Several scholars like Hvidkjær (2017) or Gillan et al. (2021), point attention to the ESG factors </w:t>
      </w:r>
      <w:r w:rsidR="00E8063C" w:rsidRPr="00B320BE">
        <w:rPr>
          <w:rFonts w:ascii="Times New Roman" w:hAnsi="Times New Roman" w:cs="Times New Roman"/>
          <w:color w:val="000000" w:themeColor="text1"/>
          <w:sz w:val="24"/>
          <w:szCs w:val="24"/>
        </w:rPr>
        <w:t>to</w:t>
      </w:r>
      <w:r w:rsidRPr="00B320BE">
        <w:rPr>
          <w:rFonts w:ascii="Times New Roman" w:hAnsi="Times New Roman" w:cs="Times New Roman"/>
          <w:color w:val="000000" w:themeColor="text1"/>
          <w:sz w:val="24"/>
          <w:szCs w:val="24"/>
        </w:rPr>
        <w:t xml:space="preserve"> financial performance, which demonstrate how environmental issues interact with social desires and governance amongst companies’ </w:t>
      </w:r>
      <w:r w:rsidR="000C52B7" w:rsidRPr="00B320BE">
        <w:rPr>
          <w:rFonts w:ascii="Times New Roman" w:hAnsi="Times New Roman" w:cs="Times New Roman"/>
          <w:color w:val="000000" w:themeColor="text1"/>
          <w:sz w:val="24"/>
          <w:szCs w:val="24"/>
        </w:rPr>
        <w:t>organization's</w:t>
      </w:r>
      <w:r w:rsidRPr="00B320BE">
        <w:rPr>
          <w:rFonts w:ascii="Times New Roman" w:hAnsi="Times New Roman" w:cs="Times New Roman"/>
          <w:color w:val="000000" w:themeColor="text1"/>
          <w:sz w:val="24"/>
          <w:szCs w:val="24"/>
        </w:rPr>
        <w:t xml:space="preserve"> tendencies whereby they shape what can be achieved for-profit investing without bein</w:t>
      </w:r>
      <w:r w:rsidR="00A157DB" w:rsidRPr="00B320BE">
        <w:rPr>
          <w:rFonts w:ascii="Times New Roman" w:hAnsi="Times New Roman" w:cs="Times New Roman"/>
          <w:color w:val="000000" w:themeColor="text1"/>
          <w:sz w:val="24"/>
          <w:szCs w:val="24"/>
        </w:rPr>
        <w:t>g completely lost on both sides.</w:t>
      </w:r>
    </w:p>
    <w:p w:rsidR="002902C0" w:rsidRPr="00B320BE" w:rsidRDefault="002902C0"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Secondly, the literature touches on standards and frameworks regarding ESG concerns. Aldowaish et al. (2022), Tsang and Cao</w:t>
      </w:r>
      <w:r w:rsidR="00E8063C" w:rsidRPr="00B320BE">
        <w:rPr>
          <w:rFonts w:ascii="Times New Roman" w:hAnsi="Times New Roman" w:cs="Times New Roman"/>
          <w:color w:val="000000" w:themeColor="text1"/>
          <w:sz w:val="24"/>
          <w:szCs w:val="24"/>
        </w:rPr>
        <w:t xml:space="preserve">. </w:t>
      </w:r>
      <w:r w:rsidRPr="00B320BE">
        <w:rPr>
          <w:rFonts w:ascii="Times New Roman" w:hAnsi="Times New Roman" w:cs="Times New Roman"/>
          <w:color w:val="000000" w:themeColor="text1"/>
          <w:sz w:val="24"/>
          <w:szCs w:val="24"/>
        </w:rPr>
        <w:t xml:space="preserve">This not only </w:t>
      </w:r>
      <w:r w:rsidR="00E8063C" w:rsidRPr="00B320BE">
        <w:rPr>
          <w:rFonts w:ascii="Times New Roman" w:hAnsi="Times New Roman" w:cs="Times New Roman"/>
          <w:color w:val="000000" w:themeColor="text1"/>
          <w:sz w:val="24"/>
          <w:szCs w:val="24"/>
        </w:rPr>
        <w:t>helps</w:t>
      </w:r>
      <w:r w:rsidRPr="00B320BE">
        <w:rPr>
          <w:rFonts w:ascii="Times New Roman" w:hAnsi="Times New Roman" w:cs="Times New Roman"/>
          <w:color w:val="000000" w:themeColor="text1"/>
          <w:sz w:val="24"/>
          <w:szCs w:val="24"/>
        </w:rPr>
        <w:t xml:space="preserve"> understand how ESG performance is measured, but it also forms the basis of evaluation for benchmarking and finance related to analysis. The model of ESG, which has been developing since the early 2000s is already used as a universal notion for any investing strategy with </w:t>
      </w:r>
      <w:r w:rsidR="00E8063C"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social component or aim reflected</w:t>
      </w:r>
      <w:r w:rsidR="00627C07" w:rsidRPr="00B320BE">
        <w:rPr>
          <w:rFonts w:ascii="Times New Roman" w:hAnsi="Times New Roman" w:cs="Times New Roman"/>
          <w:color w:val="000000" w:themeColor="text1"/>
          <w:sz w:val="24"/>
          <w:szCs w:val="24"/>
        </w:rPr>
        <w:t xml:space="preserve"> in Avetisyan’s work. (Avetisyan and Hockerts, 2016). </w:t>
      </w:r>
      <w:r w:rsidRPr="00B320BE">
        <w:rPr>
          <w:rFonts w:ascii="Times New Roman" w:hAnsi="Times New Roman" w:cs="Times New Roman"/>
          <w:color w:val="000000" w:themeColor="text1"/>
          <w:sz w:val="24"/>
          <w:szCs w:val="24"/>
        </w:rPr>
        <w:t>Essentially, the ESG framework is a guide for investors; managers of funds</w:t>
      </w:r>
      <w:r w:rsidR="00E8063C"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researchers in terms of sustainable investment terrain. It offers a great </w:t>
      </w:r>
      <w:r w:rsidRPr="00B320BE">
        <w:rPr>
          <w:rFonts w:ascii="Times New Roman" w:hAnsi="Times New Roman" w:cs="Times New Roman"/>
          <w:color w:val="000000" w:themeColor="text1"/>
          <w:sz w:val="24"/>
          <w:szCs w:val="24"/>
        </w:rPr>
        <w:lastRenderedPageBreak/>
        <w:t>perspective through which corporations are assessed and revives the paradigm shift towards more holistic socially responsible financial perspectives.</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411F1E" w:rsidRPr="00B320BE" w:rsidRDefault="00411F1E" w:rsidP="00B320BE">
      <w:pPr>
        <w:pStyle w:val="Heading2"/>
        <w:spacing w:line="360" w:lineRule="auto"/>
        <w:jc w:val="both"/>
        <w:rPr>
          <w:rFonts w:ascii="Times New Roman" w:hAnsi="Times New Roman" w:cs="Times New Roman"/>
          <w:b/>
          <w:color w:val="000000" w:themeColor="text1"/>
          <w:sz w:val="24"/>
          <w:szCs w:val="24"/>
        </w:rPr>
      </w:pPr>
      <w:bookmarkStart w:id="31" w:name="_Toc156676260"/>
      <w:bookmarkStart w:id="32" w:name="_Toc156845975"/>
      <w:r w:rsidRPr="00B320BE">
        <w:rPr>
          <w:rFonts w:ascii="Times New Roman" w:hAnsi="Times New Roman" w:cs="Times New Roman"/>
          <w:b/>
          <w:color w:val="000000" w:themeColor="text1"/>
          <w:sz w:val="24"/>
          <w:szCs w:val="24"/>
        </w:rPr>
        <w:t>Case Analysis in the Literature Review</w:t>
      </w:r>
      <w:bookmarkEnd w:id="31"/>
      <w:bookmarkEnd w:id="32"/>
    </w:p>
    <w:p w:rsidR="00E8063C"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Intesa Sanpaolo demonstrates a commitment to sustainability, evident in its A CDP climate change score (Source: </w:t>
      </w:r>
      <w:r w:rsidR="00627C07" w:rsidRPr="00B320BE">
        <w:rPr>
          <w:rFonts w:ascii="Times New Roman" w:hAnsi="Times New Roman" w:cs="Times New Roman"/>
          <w:color w:val="000000" w:themeColor="text1"/>
          <w:sz w:val="24"/>
          <w:szCs w:val="24"/>
        </w:rPr>
        <w:t>(Masola, 2023))</w:t>
      </w:r>
      <w:r w:rsidRPr="00B320BE">
        <w:rPr>
          <w:rFonts w:ascii="Times New Roman" w:hAnsi="Times New Roman" w:cs="Times New Roman"/>
          <w:color w:val="000000" w:themeColor="text1"/>
          <w:sz w:val="24"/>
          <w:szCs w:val="24"/>
        </w:rPr>
        <w:t>. The bank's focus on a green transition aligns with its strategic emphasis on climate risk management and reducing its en</w:t>
      </w:r>
      <w:r w:rsidR="00627C07" w:rsidRPr="00B320BE">
        <w:rPr>
          <w:rFonts w:ascii="Times New Roman" w:hAnsi="Times New Roman" w:cs="Times New Roman"/>
          <w:color w:val="000000" w:themeColor="text1"/>
          <w:sz w:val="24"/>
          <w:szCs w:val="24"/>
        </w:rPr>
        <w:t>vironmental footprint (Source: (Sanpaolo, 2023)</w:t>
      </w:r>
      <w:r w:rsidR="00E71D89" w:rsidRPr="00B320BE">
        <w:rPr>
          <w:rFonts w:ascii="Times New Roman" w:hAnsi="Times New Roman" w:cs="Times New Roman"/>
          <w:color w:val="000000" w:themeColor="text1"/>
          <w:sz w:val="24"/>
          <w:szCs w:val="24"/>
        </w:rPr>
        <w:t>).</w:t>
      </w:r>
      <w:r w:rsidR="0020133B" w:rsidRPr="00B320BE">
        <w:rPr>
          <w:rFonts w:ascii="Times New Roman" w:hAnsi="Times New Roman" w:cs="Times New Roman"/>
          <w:color w:val="000000" w:themeColor="text1"/>
          <w:sz w:val="24"/>
          <w:szCs w:val="24"/>
        </w:rPr>
        <w:t xml:space="preserve"> </w:t>
      </w:r>
      <w:r w:rsidR="0024740B">
        <w:rPr>
          <w:rFonts w:ascii="Times New Roman" w:hAnsi="Times New Roman" w:cs="Times New Roman"/>
          <w:color w:val="000000" w:themeColor="text1"/>
          <w:sz w:val="24"/>
          <w:szCs w:val="24"/>
        </w:rPr>
        <w:t>With a B-</w:t>
      </w:r>
      <w:r w:rsidRPr="00B320BE">
        <w:rPr>
          <w:rFonts w:ascii="Times New Roman" w:hAnsi="Times New Roman" w:cs="Times New Roman"/>
          <w:color w:val="000000" w:themeColor="text1"/>
          <w:sz w:val="24"/>
          <w:szCs w:val="24"/>
        </w:rPr>
        <w:t>CDP climate change score, Nordea Bank places importance on sustainable practices (Source: Nordea Bank, 2023). Its involvement in financing clean energy and prioritizing projects aligning with market practices showcases a dedicated approach to ESG considerations (Source: Nordea Bank, 2023).</w:t>
      </w:r>
    </w:p>
    <w:p w:rsidR="0028176D" w:rsidRDefault="0028176D" w:rsidP="0028176D">
      <w:pPr>
        <w:keepNext/>
        <w:spacing w:line="360" w:lineRule="auto"/>
        <w:jc w:val="both"/>
      </w:pPr>
      <w:r w:rsidRPr="0028176D">
        <w:rPr>
          <w:rFonts w:ascii="Times New Roman" w:hAnsi="Times New Roman" w:cs="Times New Roman"/>
          <w:color w:val="000000" w:themeColor="text1"/>
          <w:sz w:val="24"/>
          <w:szCs w:val="24"/>
        </w:rPr>
        <w:drawing>
          <wp:inline distT="0" distB="0" distL="0" distR="0" wp14:anchorId="18D21E26" wp14:editId="4FDB5612">
            <wp:extent cx="6018530" cy="2885704"/>
            <wp:effectExtent l="76200" t="76200" r="134620" b="124460"/>
            <wp:docPr id="18" name="Picture 18" descr="https://www.fujioileurope.com/sites/default/files/inline-images/CDP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fujioileurope.com/sites/default/files/inline-images/CDP_2.jpg"/>
                    <pic:cNvPicPr>
                      <a:picLocks noChangeAspect="1" noChangeArrowheads="1"/>
                    </pic:cNvPicPr>
                  </pic:nvPicPr>
                  <pic:blipFill rotWithShape="1">
                    <a:blip r:embed="rId20">
                      <a:extLst>
                        <a:ext uri="{BEBA8EAE-BF5A-486C-A8C5-ECC9F3942E4B}">
                          <a14:imgProps xmlns:a14="http://schemas.microsoft.com/office/drawing/2010/main">
                            <a14:imgLayer r:embed="rId21">
                              <a14:imgEffect>
                                <a14:sharpenSoften amount="25000"/>
                              </a14:imgEffect>
                            </a14:imgLayer>
                          </a14:imgProps>
                        </a:ext>
                        <a:ext uri="{28A0092B-C50C-407E-A947-70E740481C1C}">
                          <a14:useLocalDpi xmlns:a14="http://schemas.microsoft.com/office/drawing/2010/main" val="0"/>
                        </a:ext>
                      </a:extLst>
                    </a:blip>
                    <a:srcRect r="5075" b="7941"/>
                    <a:stretch/>
                  </pic:blipFill>
                  <pic:spPr bwMode="auto">
                    <a:xfrm>
                      <a:off x="0" y="0"/>
                      <a:ext cx="6044505" cy="289815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8176D" w:rsidRPr="0028176D" w:rsidRDefault="0028176D" w:rsidP="0028176D">
      <w:pPr>
        <w:pStyle w:val="Caption"/>
        <w:jc w:val="both"/>
        <w:rPr>
          <w:rFonts w:ascii="Times New Roman" w:hAnsi="Times New Roman" w:cs="Times New Roman"/>
          <w:b/>
          <w:i w:val="0"/>
          <w:color w:val="auto"/>
          <w:sz w:val="24"/>
          <w:szCs w:val="24"/>
        </w:rPr>
      </w:pPr>
      <w:bookmarkStart w:id="33" w:name="_Toc156846079"/>
      <w:r w:rsidRPr="0028176D">
        <w:rPr>
          <w:rFonts w:ascii="Times New Roman" w:hAnsi="Times New Roman" w:cs="Times New Roman"/>
          <w:b/>
          <w:i w:val="0"/>
          <w:color w:val="auto"/>
          <w:sz w:val="24"/>
          <w:szCs w:val="24"/>
        </w:rPr>
        <w:t xml:space="preserve">Figure </w:t>
      </w:r>
      <w:r w:rsidRPr="0028176D">
        <w:rPr>
          <w:rFonts w:ascii="Times New Roman" w:hAnsi="Times New Roman" w:cs="Times New Roman"/>
          <w:b/>
          <w:i w:val="0"/>
          <w:color w:val="auto"/>
          <w:sz w:val="24"/>
          <w:szCs w:val="24"/>
        </w:rPr>
        <w:fldChar w:fldCharType="begin"/>
      </w:r>
      <w:r w:rsidRPr="0028176D">
        <w:rPr>
          <w:rFonts w:ascii="Times New Roman" w:hAnsi="Times New Roman" w:cs="Times New Roman"/>
          <w:b/>
          <w:i w:val="0"/>
          <w:color w:val="auto"/>
          <w:sz w:val="24"/>
          <w:szCs w:val="24"/>
        </w:rPr>
        <w:instrText xml:space="preserve"> SEQ Figure \* ARABIC </w:instrText>
      </w:r>
      <w:r w:rsidRPr="0028176D">
        <w:rPr>
          <w:rFonts w:ascii="Times New Roman" w:hAnsi="Times New Roman" w:cs="Times New Roman"/>
          <w:b/>
          <w:i w:val="0"/>
          <w:color w:val="auto"/>
          <w:sz w:val="24"/>
          <w:szCs w:val="24"/>
        </w:rPr>
        <w:fldChar w:fldCharType="separate"/>
      </w:r>
      <w:r w:rsidR="00FE2A81">
        <w:rPr>
          <w:rFonts w:ascii="Times New Roman" w:hAnsi="Times New Roman" w:cs="Times New Roman"/>
          <w:b/>
          <w:i w:val="0"/>
          <w:noProof/>
          <w:color w:val="auto"/>
          <w:sz w:val="24"/>
          <w:szCs w:val="24"/>
        </w:rPr>
        <w:t>3</w:t>
      </w:r>
      <w:bookmarkEnd w:id="33"/>
      <w:r w:rsidRPr="0028176D">
        <w:rPr>
          <w:rFonts w:ascii="Times New Roman" w:hAnsi="Times New Roman" w:cs="Times New Roman"/>
          <w:b/>
          <w:i w:val="0"/>
          <w:color w:val="auto"/>
          <w:sz w:val="24"/>
          <w:szCs w:val="24"/>
        </w:rPr>
        <w:fldChar w:fldCharType="end"/>
      </w:r>
    </w:p>
    <w:p w:rsidR="0028176D" w:rsidRPr="00B320BE" w:rsidRDefault="0028176D" w:rsidP="00B320BE">
      <w:pPr>
        <w:spacing w:line="360" w:lineRule="auto"/>
        <w:jc w:val="both"/>
        <w:rPr>
          <w:rFonts w:ascii="Times New Roman" w:hAnsi="Times New Roman" w:cs="Times New Roman"/>
          <w:color w:val="000000" w:themeColor="text1"/>
          <w:sz w:val="24"/>
          <w:szCs w:val="24"/>
        </w:rPr>
      </w:pPr>
    </w:p>
    <w:p w:rsidR="00A157DB" w:rsidRPr="00B320BE" w:rsidRDefault="00A157DB"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ING Group stands out with its diverse sustai</w:t>
      </w:r>
      <w:r w:rsidR="0024740B">
        <w:rPr>
          <w:rFonts w:ascii="Times New Roman" w:hAnsi="Times New Roman" w:cs="Times New Roman"/>
          <w:color w:val="000000" w:themeColor="text1"/>
          <w:sz w:val="24"/>
          <w:szCs w:val="24"/>
        </w:rPr>
        <w:t>nability efforts, boasting a B-</w:t>
      </w:r>
      <w:r w:rsidRPr="00B320BE">
        <w:rPr>
          <w:rFonts w:ascii="Times New Roman" w:hAnsi="Times New Roman" w:cs="Times New Roman"/>
          <w:color w:val="000000" w:themeColor="text1"/>
          <w:sz w:val="24"/>
          <w:szCs w:val="24"/>
        </w:rPr>
        <w:t xml:space="preserve">CDP climate change score (Source: </w:t>
      </w:r>
      <w:r w:rsidR="00E71D89" w:rsidRPr="00B320BE">
        <w:rPr>
          <w:rFonts w:ascii="Times New Roman" w:hAnsi="Times New Roman" w:cs="Times New Roman"/>
          <w:color w:val="000000" w:themeColor="text1"/>
          <w:sz w:val="24"/>
          <w:szCs w:val="24"/>
        </w:rPr>
        <w:t xml:space="preserve">ING, 2023). </w:t>
      </w:r>
      <w:r w:rsidRPr="00B320BE">
        <w:rPr>
          <w:rFonts w:ascii="Times New Roman" w:hAnsi="Times New Roman" w:cs="Times New Roman"/>
          <w:color w:val="000000" w:themeColor="text1"/>
          <w:sz w:val="24"/>
          <w:szCs w:val="24"/>
        </w:rPr>
        <w:t>The bank incorporates climate risk into various aspects, from credit risk management to sustainability-linked financial models, showcasing a comprehensive ES</w:t>
      </w:r>
      <w:r w:rsidR="0020133B" w:rsidRPr="00B320BE">
        <w:rPr>
          <w:rFonts w:ascii="Times New Roman" w:hAnsi="Times New Roman" w:cs="Times New Roman"/>
          <w:color w:val="000000" w:themeColor="text1"/>
          <w:sz w:val="24"/>
          <w:szCs w:val="24"/>
        </w:rPr>
        <w:t xml:space="preserve">G strategy (Source: ING, 2023). </w:t>
      </w:r>
      <w:r w:rsidRPr="00B320BE">
        <w:rPr>
          <w:rFonts w:ascii="Times New Roman" w:hAnsi="Times New Roman" w:cs="Times New Roman"/>
          <w:color w:val="000000" w:themeColor="text1"/>
          <w:sz w:val="24"/>
          <w:szCs w:val="24"/>
        </w:rPr>
        <w:t xml:space="preserve">As the top bank in the EU, BNP Paribas emphasizes the integration </w:t>
      </w:r>
      <w:r w:rsidRPr="00B320BE">
        <w:rPr>
          <w:rFonts w:ascii="Times New Roman" w:hAnsi="Times New Roman" w:cs="Times New Roman"/>
          <w:color w:val="000000" w:themeColor="text1"/>
          <w:sz w:val="24"/>
          <w:szCs w:val="24"/>
        </w:rPr>
        <w:lastRenderedPageBreak/>
        <w:t>of climate concerns into its overall risk management framework (Sou</w:t>
      </w:r>
      <w:r w:rsidR="0024740B">
        <w:rPr>
          <w:rFonts w:ascii="Times New Roman" w:hAnsi="Times New Roman" w:cs="Times New Roman"/>
          <w:color w:val="000000" w:themeColor="text1"/>
          <w:sz w:val="24"/>
          <w:szCs w:val="24"/>
        </w:rPr>
        <w:t>rce: BNP Paribas, 2023). Its A-</w:t>
      </w:r>
      <w:r w:rsidRPr="00B320BE">
        <w:rPr>
          <w:rFonts w:ascii="Times New Roman" w:hAnsi="Times New Roman" w:cs="Times New Roman"/>
          <w:color w:val="000000" w:themeColor="text1"/>
          <w:sz w:val="24"/>
          <w:szCs w:val="24"/>
        </w:rPr>
        <w:t xml:space="preserve">CDP climate change score reflects a strong commitment to aligning climate risk factors with conventional risk categories (Source: </w:t>
      </w:r>
      <w:r w:rsidR="00E71D89" w:rsidRPr="00B320BE">
        <w:rPr>
          <w:rFonts w:ascii="Times New Roman" w:hAnsi="Times New Roman" w:cs="Times New Roman"/>
          <w:color w:val="000000" w:themeColor="text1"/>
          <w:sz w:val="24"/>
          <w:szCs w:val="24"/>
        </w:rPr>
        <w:t>BNP Paribas, 2023</w:t>
      </w:r>
      <w:r w:rsidR="0020133B" w:rsidRPr="00B320BE">
        <w:rPr>
          <w:rFonts w:ascii="Times New Roman" w:hAnsi="Times New Roman" w:cs="Times New Roman"/>
          <w:color w:val="000000" w:themeColor="text1"/>
          <w:sz w:val="24"/>
          <w:szCs w:val="24"/>
        </w:rPr>
        <w:t xml:space="preserve">). </w:t>
      </w:r>
      <w:r w:rsidRPr="00B320BE">
        <w:rPr>
          <w:rFonts w:ascii="Times New Roman" w:hAnsi="Times New Roman" w:cs="Times New Roman"/>
          <w:color w:val="000000" w:themeColor="text1"/>
          <w:sz w:val="24"/>
          <w:szCs w:val="24"/>
        </w:rPr>
        <w:t>Santander's commitment to sus</w:t>
      </w:r>
      <w:r w:rsidR="0024740B">
        <w:rPr>
          <w:rFonts w:ascii="Times New Roman" w:hAnsi="Times New Roman" w:cs="Times New Roman"/>
          <w:color w:val="000000" w:themeColor="text1"/>
          <w:sz w:val="24"/>
          <w:szCs w:val="24"/>
        </w:rPr>
        <w:t xml:space="preserve">tainability is evident in </w:t>
      </w:r>
      <w:r w:rsidR="0028176D">
        <w:rPr>
          <w:rFonts w:ascii="Times New Roman" w:hAnsi="Times New Roman" w:cs="Times New Roman"/>
          <w:color w:val="000000" w:themeColor="text1"/>
          <w:sz w:val="24"/>
          <w:szCs w:val="24"/>
        </w:rPr>
        <w:t>its</w:t>
      </w:r>
      <w:r w:rsidR="0024740B">
        <w:rPr>
          <w:rFonts w:ascii="Times New Roman" w:hAnsi="Times New Roman" w:cs="Times New Roman"/>
          <w:color w:val="000000" w:themeColor="text1"/>
          <w:sz w:val="24"/>
          <w:szCs w:val="24"/>
        </w:rPr>
        <w:t xml:space="preserve"> A-</w:t>
      </w:r>
      <w:r w:rsidRPr="00B320BE">
        <w:rPr>
          <w:rFonts w:ascii="Times New Roman" w:hAnsi="Times New Roman" w:cs="Times New Roman"/>
          <w:color w:val="000000" w:themeColor="text1"/>
          <w:sz w:val="24"/>
          <w:szCs w:val="24"/>
        </w:rPr>
        <w:t>CDP climate change score (Source: Santander, 2022). The bank's unique approach involves issuing sustainability-linked bonds and loans, contributing to social and sustainable goals, and showcasing its multifaceted involvement in climate action (Source: Santander, 2022).</w:t>
      </w:r>
    </w:p>
    <w:p w:rsidR="005D47AE" w:rsidRPr="00B320BE" w:rsidRDefault="00A157DB"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On the other hand, this case analysis confirms that there are different approaches to sustainability strategies around risk management and investments into innovative solutions used by major banks worldwide in line with global initiatives aimed at a sustainable future.</w:t>
      </w:r>
    </w:p>
    <w:p w:rsidR="00A157DB" w:rsidRPr="00B320BE" w:rsidRDefault="00A157DB" w:rsidP="00B320BE">
      <w:pPr>
        <w:spacing w:line="360" w:lineRule="auto"/>
        <w:jc w:val="both"/>
        <w:rPr>
          <w:rFonts w:ascii="Times New Roman" w:hAnsi="Times New Roman" w:cs="Times New Roman"/>
          <w:color w:val="000000" w:themeColor="text1"/>
          <w:sz w:val="24"/>
          <w:szCs w:val="24"/>
        </w:rPr>
      </w:pPr>
    </w:p>
    <w:p w:rsidR="00E8063C" w:rsidRPr="00B320BE" w:rsidRDefault="00E8063C" w:rsidP="00B320BE">
      <w:pPr>
        <w:pStyle w:val="Heading2"/>
        <w:spacing w:line="360" w:lineRule="auto"/>
        <w:jc w:val="both"/>
        <w:rPr>
          <w:rFonts w:ascii="Times New Roman" w:hAnsi="Times New Roman" w:cs="Times New Roman"/>
          <w:b/>
          <w:color w:val="000000" w:themeColor="text1"/>
          <w:sz w:val="24"/>
          <w:szCs w:val="24"/>
        </w:rPr>
      </w:pPr>
      <w:bookmarkStart w:id="34" w:name="_Toc156676261"/>
      <w:bookmarkStart w:id="35" w:name="_Toc156845976"/>
      <w:r w:rsidRPr="00B320BE">
        <w:rPr>
          <w:rFonts w:ascii="Times New Roman" w:hAnsi="Times New Roman" w:cs="Times New Roman"/>
          <w:b/>
          <w:color w:val="000000" w:themeColor="text1"/>
          <w:sz w:val="24"/>
          <w:szCs w:val="24"/>
        </w:rPr>
        <w:t>ESG Integration</w:t>
      </w:r>
      <w:bookmarkEnd w:id="34"/>
      <w:bookmarkEnd w:id="35"/>
    </w:p>
    <w:p w:rsidR="00E8063C" w:rsidRPr="00B320BE" w:rsidRDefault="00A157DB"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Basic research on ESG integration facilitates the understanding of crucial aspects of sustainability and financial performance</w:t>
      </w:r>
      <w:r w:rsidR="00A532EC" w:rsidRPr="00B320BE">
        <w:rPr>
          <w:rFonts w:ascii="Times New Roman" w:hAnsi="Times New Roman" w:cs="Times New Roman"/>
          <w:color w:val="000000" w:themeColor="text1"/>
          <w:sz w:val="24"/>
          <w:szCs w:val="24"/>
        </w:rPr>
        <w:t xml:space="preserve">. </w:t>
      </w:r>
      <w:r w:rsidR="00E8063C" w:rsidRPr="00B320BE">
        <w:rPr>
          <w:rFonts w:ascii="Times New Roman" w:hAnsi="Times New Roman" w:cs="Times New Roman"/>
          <w:color w:val="000000" w:themeColor="text1"/>
          <w:sz w:val="24"/>
          <w:szCs w:val="24"/>
        </w:rPr>
        <w:t xml:space="preserve">Aldowaish et al.’s systematic search and review describe the changing climate of ESG integration. Their work covers a more general overview, highlighting the importance of research </w:t>
      </w:r>
      <w:r w:rsidR="005D47AE" w:rsidRPr="00B320BE">
        <w:rPr>
          <w:rFonts w:ascii="Times New Roman" w:hAnsi="Times New Roman" w:cs="Times New Roman"/>
          <w:color w:val="000000" w:themeColor="text1"/>
          <w:sz w:val="24"/>
          <w:szCs w:val="24"/>
        </w:rPr>
        <w:t>frameworks</w:t>
      </w:r>
      <w:r w:rsidR="00E8063C" w:rsidRPr="00B320BE">
        <w:rPr>
          <w:rFonts w:ascii="Times New Roman" w:hAnsi="Times New Roman" w:cs="Times New Roman"/>
          <w:color w:val="000000" w:themeColor="text1"/>
          <w:sz w:val="24"/>
          <w:szCs w:val="24"/>
        </w:rPr>
        <w:t xml:space="preserve"> to address business models and socially responsible investments, as well as their relationship </w:t>
      </w:r>
      <w:r w:rsidR="00A532EC" w:rsidRPr="00B320BE">
        <w:rPr>
          <w:rFonts w:ascii="Times New Roman" w:hAnsi="Times New Roman" w:cs="Times New Roman"/>
          <w:color w:val="000000" w:themeColor="text1"/>
          <w:sz w:val="24"/>
          <w:szCs w:val="24"/>
        </w:rPr>
        <w:t xml:space="preserve">during sustainable development. </w:t>
      </w:r>
      <w:r w:rsidR="00E8063C" w:rsidRPr="00B320BE">
        <w:rPr>
          <w:rFonts w:ascii="Times New Roman" w:hAnsi="Times New Roman" w:cs="Times New Roman"/>
          <w:color w:val="000000" w:themeColor="text1"/>
          <w:sz w:val="24"/>
          <w:szCs w:val="24"/>
        </w:rPr>
        <w:t xml:space="preserve">Tsang’s discovery goes deep into the reasons </w:t>
      </w:r>
      <w:r w:rsidR="005D47AE" w:rsidRPr="00B320BE">
        <w:rPr>
          <w:rFonts w:ascii="Times New Roman" w:hAnsi="Times New Roman" w:cs="Times New Roman"/>
          <w:color w:val="000000" w:themeColor="text1"/>
          <w:sz w:val="24"/>
          <w:szCs w:val="24"/>
        </w:rPr>
        <w:t>for</w:t>
      </w:r>
      <w:r w:rsidR="00E8063C" w:rsidRPr="00B320BE">
        <w:rPr>
          <w:rFonts w:ascii="Times New Roman" w:hAnsi="Times New Roman" w:cs="Times New Roman"/>
          <w:color w:val="000000" w:themeColor="text1"/>
          <w:sz w:val="24"/>
          <w:szCs w:val="24"/>
        </w:rPr>
        <w:t xml:space="preserve"> ESG disclosure, unveiling several consequences involving such information. The research also addresses user-level attributes, revealing </w:t>
      </w:r>
      <w:r w:rsidR="00A532EC" w:rsidRPr="00B320BE">
        <w:rPr>
          <w:rFonts w:ascii="Times New Roman" w:hAnsi="Times New Roman" w:cs="Times New Roman"/>
          <w:color w:val="000000" w:themeColor="text1"/>
          <w:sz w:val="24"/>
          <w:szCs w:val="24"/>
        </w:rPr>
        <w:t>how</w:t>
      </w:r>
      <w:r w:rsidR="00E8063C" w:rsidRPr="00B320BE">
        <w:rPr>
          <w:rFonts w:ascii="Times New Roman" w:hAnsi="Times New Roman" w:cs="Times New Roman"/>
          <w:color w:val="000000" w:themeColor="text1"/>
          <w:sz w:val="24"/>
          <w:szCs w:val="24"/>
        </w:rPr>
        <w:t xml:space="preserve"> various stakeholders react to ESG disclosures.</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literature review in the work of Robinson points out a rather subtle intersection between ESG issues within the field of commercial real estate. The research reveals the impact of ESG factors on decision-making in the real estate sector which adds to our knowledge about sustainability practices wi</w:t>
      </w:r>
      <w:r w:rsidR="00A532EC" w:rsidRPr="00B320BE">
        <w:rPr>
          <w:rFonts w:ascii="Times New Roman" w:hAnsi="Times New Roman" w:cs="Times New Roman"/>
          <w:color w:val="000000" w:themeColor="text1"/>
          <w:sz w:val="24"/>
          <w:szCs w:val="24"/>
        </w:rPr>
        <w:t xml:space="preserve">thin this field. </w:t>
      </w:r>
      <w:r w:rsidRPr="00B320BE">
        <w:rPr>
          <w:rFonts w:ascii="Times New Roman" w:hAnsi="Times New Roman" w:cs="Times New Roman"/>
          <w:color w:val="000000" w:themeColor="text1"/>
          <w:sz w:val="24"/>
          <w:szCs w:val="24"/>
        </w:rPr>
        <w:t>A systematic review by Widyawati defines the context of socially responsible investment and ESG metrics. Due to the fusion of various resources, this study provides a more holistic perspective on how sustainable investment and sustainability measurements are related.</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quest of Li et al. links with the transforming environment in ESG research. From the bibliometric perspective, this study does not only conduct knowledge synthesis but also develops </w:t>
      </w:r>
      <w:r w:rsidRPr="00B320BE">
        <w:rPr>
          <w:rFonts w:ascii="Times New Roman" w:hAnsi="Times New Roman" w:cs="Times New Roman"/>
          <w:color w:val="000000" w:themeColor="text1"/>
          <w:sz w:val="24"/>
          <w:szCs w:val="24"/>
        </w:rPr>
        <w:lastRenderedPageBreak/>
        <w:t>a particular path for future research that would help understand ESG dynamics and form background to further investigation.</w:t>
      </w:r>
      <w:r w:rsidR="00A532EC" w:rsidRPr="00B320BE">
        <w:rPr>
          <w:rFonts w:ascii="Times New Roman" w:hAnsi="Times New Roman" w:cs="Times New Roman"/>
          <w:color w:val="000000" w:themeColor="text1"/>
          <w:sz w:val="24"/>
          <w:szCs w:val="24"/>
        </w:rPr>
        <w:t xml:space="preserve"> </w:t>
      </w:r>
      <w:r w:rsidRPr="00B320BE">
        <w:rPr>
          <w:rFonts w:ascii="Times New Roman" w:hAnsi="Times New Roman" w:cs="Times New Roman"/>
          <w:color w:val="000000" w:themeColor="text1"/>
          <w:sz w:val="24"/>
          <w:szCs w:val="24"/>
        </w:rPr>
        <w:t>The study by Almeyda and Darmansyah is an attempt to assess the delicate balance between ESG disclosure and firm financial performance. The study provides information on how ESG disclosure affects a firm’s financial status</w:t>
      </w:r>
      <w:r w:rsidR="002C08F0" w:rsidRPr="00B320BE">
        <w:rPr>
          <w:rFonts w:ascii="Times New Roman" w:hAnsi="Times New Roman" w:cs="Times New Roman"/>
          <w:color w:val="000000" w:themeColor="text1"/>
          <w:sz w:val="24"/>
          <w:szCs w:val="24"/>
        </w:rPr>
        <w:t xml:space="preserve"> (Almeyda and Darmansya, 2019)</w:t>
      </w:r>
      <w:r w:rsidRPr="00B320BE">
        <w:rPr>
          <w:rFonts w:ascii="Times New Roman" w:hAnsi="Times New Roman" w:cs="Times New Roman"/>
          <w:color w:val="000000" w:themeColor="text1"/>
          <w:sz w:val="24"/>
          <w:szCs w:val="24"/>
        </w:rPr>
        <w:t>.</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Henriksson </w:t>
      </w:r>
      <w:r w:rsidR="002C08F0" w:rsidRPr="00B320BE">
        <w:rPr>
          <w:rFonts w:ascii="Times New Roman" w:hAnsi="Times New Roman" w:cs="Times New Roman"/>
          <w:color w:val="000000" w:themeColor="text1"/>
          <w:sz w:val="24"/>
          <w:szCs w:val="24"/>
        </w:rPr>
        <w:t>finds</w:t>
      </w:r>
      <w:r w:rsidRPr="00B320BE">
        <w:rPr>
          <w:rFonts w:ascii="Times New Roman" w:hAnsi="Times New Roman" w:cs="Times New Roman"/>
          <w:color w:val="000000" w:themeColor="text1"/>
          <w:sz w:val="24"/>
          <w:szCs w:val="24"/>
        </w:rPr>
        <w:t xml:space="preserve"> that ESG has a positive impact on financial metrics especially the cost of capital. However, their results demonstrate the economic benefits that sustainability integration provides to companies w</w:t>
      </w:r>
      <w:r w:rsidR="00A532EC" w:rsidRPr="00B320BE">
        <w:rPr>
          <w:rFonts w:ascii="Times New Roman" w:hAnsi="Times New Roman" w:cs="Times New Roman"/>
          <w:color w:val="000000" w:themeColor="text1"/>
          <w:sz w:val="24"/>
          <w:szCs w:val="24"/>
        </w:rPr>
        <w:t xml:space="preserve">ith high-performing ESG scores. </w:t>
      </w:r>
      <w:r w:rsidRPr="00B320BE">
        <w:rPr>
          <w:rFonts w:ascii="Times New Roman" w:hAnsi="Times New Roman" w:cs="Times New Roman"/>
          <w:color w:val="000000" w:themeColor="text1"/>
          <w:sz w:val="24"/>
          <w:szCs w:val="24"/>
        </w:rPr>
        <w:t>Firms and Social Responsibility: This Review of ESG and CSR Studies in Corporate Finance.</w:t>
      </w:r>
    </w:p>
    <w:p w:rsidR="004A6F3D"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In a review of the terrain occupied by research on ESG and CSR in corporate finance, Gillan et al. guide us through this landscape. Through analyzing responsibilities towards the environment, society, and government, this study brings a more detailed picture of changing corporate roles in societal life as well as </w:t>
      </w:r>
      <w:r w:rsidR="00A532EC"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environmental domain.</w:t>
      </w:r>
    </w:p>
    <w:p w:rsidR="00E8063C"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Oualaid Janah and Sassi’s study introduces the significant aspect by investigating how ESG affects corporate financial performance for developing nations. In recognizing the peculiarities and opportunities of doing business in emerging economies, this research adds an inclusive </w:t>
      </w:r>
      <w:r w:rsidR="00A532EC" w:rsidRPr="00B320BE">
        <w:rPr>
          <w:rFonts w:ascii="Times New Roman" w:hAnsi="Times New Roman" w:cs="Times New Roman"/>
          <w:color w:val="000000" w:themeColor="text1"/>
          <w:sz w:val="24"/>
          <w:szCs w:val="24"/>
        </w:rPr>
        <w:t xml:space="preserve">element to ESG dynamics. </w:t>
      </w:r>
      <w:r w:rsidRPr="00B320BE">
        <w:rPr>
          <w:rFonts w:ascii="Times New Roman" w:hAnsi="Times New Roman" w:cs="Times New Roman"/>
          <w:color w:val="000000" w:themeColor="text1"/>
          <w:sz w:val="24"/>
          <w:szCs w:val="24"/>
        </w:rPr>
        <w:t>This ESG integration literature synthesis provides a comprehensive approach to include motivations, implications, and different environments of real estate, responsible investments as well as corporate finance. The shared wisdom serves as a basis for understanding the diverse nature of sustainability and financial performance</w:t>
      </w:r>
      <w:r w:rsidR="002C08F0" w:rsidRPr="00B320BE">
        <w:rPr>
          <w:rFonts w:ascii="Times New Roman" w:hAnsi="Times New Roman" w:cs="Times New Roman"/>
          <w:color w:val="000000" w:themeColor="text1"/>
          <w:sz w:val="24"/>
          <w:szCs w:val="24"/>
        </w:rPr>
        <w:t xml:space="preserve"> (Oualaid and Sassi, 2021)</w:t>
      </w:r>
      <w:r w:rsidRPr="00B320BE">
        <w:rPr>
          <w:rFonts w:ascii="Times New Roman" w:hAnsi="Times New Roman" w:cs="Times New Roman"/>
          <w:color w:val="000000" w:themeColor="text1"/>
          <w:sz w:val="24"/>
          <w:szCs w:val="24"/>
        </w:rPr>
        <w:t>.</w:t>
      </w:r>
    </w:p>
    <w:p w:rsidR="004A6F3D" w:rsidRDefault="004A6F3D" w:rsidP="00B320BE">
      <w:pPr>
        <w:spacing w:line="360" w:lineRule="auto"/>
        <w:jc w:val="both"/>
        <w:rPr>
          <w:rFonts w:ascii="Times New Roman" w:hAnsi="Times New Roman" w:cs="Times New Roman"/>
          <w:color w:val="000000" w:themeColor="text1"/>
          <w:sz w:val="24"/>
          <w:szCs w:val="24"/>
        </w:rPr>
      </w:pPr>
    </w:p>
    <w:p w:rsidR="004A6F3D" w:rsidRDefault="004A6F3D" w:rsidP="00B320BE">
      <w:pPr>
        <w:spacing w:line="360" w:lineRule="auto"/>
        <w:jc w:val="both"/>
        <w:rPr>
          <w:rFonts w:ascii="Times New Roman" w:hAnsi="Times New Roman" w:cs="Times New Roman"/>
          <w:color w:val="000000" w:themeColor="text1"/>
          <w:sz w:val="24"/>
          <w:szCs w:val="24"/>
        </w:rPr>
      </w:pPr>
    </w:p>
    <w:p w:rsidR="004A6F3D" w:rsidRDefault="004A6F3D" w:rsidP="00B320BE">
      <w:pPr>
        <w:spacing w:line="360" w:lineRule="auto"/>
        <w:jc w:val="both"/>
        <w:rPr>
          <w:rFonts w:ascii="Times New Roman" w:hAnsi="Times New Roman" w:cs="Times New Roman"/>
          <w:color w:val="000000" w:themeColor="text1"/>
          <w:sz w:val="24"/>
          <w:szCs w:val="24"/>
        </w:rPr>
      </w:pPr>
    </w:p>
    <w:p w:rsidR="004A6F3D" w:rsidRDefault="004A6F3D" w:rsidP="00B320BE">
      <w:pPr>
        <w:spacing w:line="360" w:lineRule="auto"/>
        <w:jc w:val="both"/>
        <w:rPr>
          <w:rFonts w:ascii="Times New Roman" w:hAnsi="Times New Roman" w:cs="Times New Roman"/>
          <w:color w:val="000000" w:themeColor="text1"/>
          <w:sz w:val="24"/>
          <w:szCs w:val="24"/>
        </w:rPr>
      </w:pPr>
    </w:p>
    <w:p w:rsidR="004A6F3D" w:rsidRDefault="004A6F3D" w:rsidP="00B320BE">
      <w:pPr>
        <w:spacing w:line="360" w:lineRule="auto"/>
        <w:jc w:val="both"/>
        <w:rPr>
          <w:rFonts w:ascii="Times New Roman" w:hAnsi="Times New Roman" w:cs="Times New Roman"/>
          <w:color w:val="000000" w:themeColor="text1"/>
          <w:sz w:val="24"/>
          <w:szCs w:val="24"/>
        </w:rPr>
      </w:pPr>
    </w:p>
    <w:p w:rsidR="004A6F3D" w:rsidRDefault="004A6F3D" w:rsidP="00B320BE">
      <w:pPr>
        <w:spacing w:line="360" w:lineRule="auto"/>
        <w:jc w:val="both"/>
        <w:rPr>
          <w:rFonts w:ascii="Times New Roman" w:hAnsi="Times New Roman" w:cs="Times New Roman"/>
          <w:color w:val="000000" w:themeColor="text1"/>
          <w:sz w:val="24"/>
          <w:szCs w:val="24"/>
        </w:rPr>
      </w:pPr>
    </w:p>
    <w:p w:rsidR="004A6F3D" w:rsidRDefault="004A6F3D" w:rsidP="00B320BE">
      <w:pPr>
        <w:spacing w:line="360" w:lineRule="auto"/>
        <w:jc w:val="both"/>
        <w:rPr>
          <w:rFonts w:ascii="Times New Roman" w:hAnsi="Times New Roman" w:cs="Times New Roman"/>
          <w:color w:val="000000" w:themeColor="text1"/>
          <w:sz w:val="24"/>
          <w:szCs w:val="24"/>
        </w:rPr>
      </w:pPr>
    </w:p>
    <w:p w:rsidR="005D47AE" w:rsidRPr="00B320BE" w:rsidRDefault="004A6F3D" w:rsidP="00B320BE">
      <w:pPr>
        <w:spacing w:line="360" w:lineRule="auto"/>
        <w:jc w:val="both"/>
        <w:rPr>
          <w:rFonts w:ascii="Times New Roman" w:hAnsi="Times New Roman" w:cs="Times New Roman"/>
          <w:color w:val="000000" w:themeColor="text1"/>
          <w:sz w:val="24"/>
          <w:szCs w:val="24"/>
        </w:rPr>
      </w:pPr>
      <w:r>
        <w:rPr>
          <w:noProof/>
        </w:rPr>
        <w:lastRenderedPageBreak/>
        <mc:AlternateContent>
          <mc:Choice Requires="wps">
            <w:drawing>
              <wp:anchor distT="0" distB="0" distL="114300" distR="114300" simplePos="0" relativeHeight="251678720" behindDoc="0" locked="0" layoutInCell="1" allowOverlap="1" wp14:anchorId="2C81C835" wp14:editId="09EA60AA">
                <wp:simplePos x="0" y="0"/>
                <wp:positionH relativeFrom="column">
                  <wp:posOffset>0</wp:posOffset>
                </wp:positionH>
                <wp:positionV relativeFrom="paragraph">
                  <wp:posOffset>5289664</wp:posOffset>
                </wp:positionV>
                <wp:extent cx="5944235" cy="635"/>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5944235" cy="635"/>
                        </a:xfrm>
                        <a:prstGeom prst="rect">
                          <a:avLst/>
                        </a:prstGeom>
                        <a:solidFill>
                          <a:prstClr val="white"/>
                        </a:solidFill>
                        <a:ln>
                          <a:noFill/>
                        </a:ln>
                      </wps:spPr>
                      <wps:txbx>
                        <w:txbxContent>
                          <w:p w:rsidR="004A6F3D" w:rsidRPr="004A6F3D" w:rsidRDefault="004A6F3D" w:rsidP="004A6F3D">
                            <w:pPr>
                              <w:pStyle w:val="Caption"/>
                              <w:rPr>
                                <w:rFonts w:ascii="Times New Roman" w:hAnsi="Times New Roman" w:cs="Times New Roman"/>
                                <w:b/>
                                <w:i w:val="0"/>
                                <w:noProof/>
                                <w:color w:val="auto"/>
                                <w:sz w:val="36"/>
                                <w:szCs w:val="24"/>
                              </w:rPr>
                            </w:pPr>
                            <w:bookmarkStart w:id="36" w:name="_Toc156846080"/>
                            <w:r w:rsidRPr="004A6F3D">
                              <w:rPr>
                                <w:rFonts w:ascii="Times New Roman" w:hAnsi="Times New Roman" w:cs="Times New Roman"/>
                                <w:b/>
                                <w:i w:val="0"/>
                                <w:color w:val="auto"/>
                                <w:sz w:val="24"/>
                              </w:rPr>
                              <w:t xml:space="preserve">Figure </w:t>
                            </w:r>
                            <w:r w:rsidRPr="004A6F3D">
                              <w:rPr>
                                <w:rFonts w:ascii="Times New Roman" w:hAnsi="Times New Roman" w:cs="Times New Roman"/>
                                <w:b/>
                                <w:i w:val="0"/>
                                <w:color w:val="auto"/>
                                <w:sz w:val="24"/>
                              </w:rPr>
                              <w:fldChar w:fldCharType="begin"/>
                            </w:r>
                            <w:r w:rsidRPr="004A6F3D">
                              <w:rPr>
                                <w:rFonts w:ascii="Times New Roman" w:hAnsi="Times New Roman" w:cs="Times New Roman"/>
                                <w:b/>
                                <w:i w:val="0"/>
                                <w:color w:val="auto"/>
                                <w:sz w:val="24"/>
                              </w:rPr>
                              <w:instrText xml:space="preserve"> SEQ Figure \* ARABIC </w:instrText>
                            </w:r>
                            <w:r w:rsidRPr="004A6F3D">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4</w:t>
                            </w:r>
                            <w:bookmarkEnd w:id="36"/>
                            <w:r w:rsidRPr="004A6F3D">
                              <w:rPr>
                                <w:rFonts w:ascii="Times New Roman" w:hAnsi="Times New Roman" w:cs="Times New Roman"/>
                                <w:b/>
                                <w:i w:val="0"/>
                                <w:color w:val="auto"/>
                                <w:sz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81C835" id="Text Box 22" o:spid="_x0000_s1027" type="#_x0000_t202" style="position:absolute;left:0;text-align:left;margin-left:0;margin-top:416.5pt;width:468.05pt;height:.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" stroked="f">
                <v:textbox style="mso-fit-shape-to-text:t" inset="0,0,0,0">
                  <w:txbxContent>
                    <w:p w:rsidR="004A6F3D" w:rsidRPr="004A6F3D" w:rsidRDefault="004A6F3D" w:rsidP="004A6F3D">
                      <w:pPr>
                        <w:pStyle w:val="Caption"/>
                        <w:rPr>
                          <w:rFonts w:ascii="Times New Roman" w:hAnsi="Times New Roman" w:cs="Times New Roman"/>
                          <w:b/>
                          <w:i w:val="0"/>
                          <w:noProof/>
                          <w:color w:val="auto"/>
                          <w:sz w:val="36"/>
                          <w:szCs w:val="24"/>
                        </w:rPr>
                      </w:pPr>
                      <w:bookmarkStart w:id="37" w:name="_Toc156846080"/>
                      <w:r w:rsidRPr="004A6F3D">
                        <w:rPr>
                          <w:rFonts w:ascii="Times New Roman" w:hAnsi="Times New Roman" w:cs="Times New Roman"/>
                          <w:b/>
                          <w:i w:val="0"/>
                          <w:color w:val="auto"/>
                          <w:sz w:val="24"/>
                        </w:rPr>
                        <w:t xml:space="preserve">Figure </w:t>
                      </w:r>
                      <w:r w:rsidRPr="004A6F3D">
                        <w:rPr>
                          <w:rFonts w:ascii="Times New Roman" w:hAnsi="Times New Roman" w:cs="Times New Roman"/>
                          <w:b/>
                          <w:i w:val="0"/>
                          <w:color w:val="auto"/>
                          <w:sz w:val="24"/>
                        </w:rPr>
                        <w:fldChar w:fldCharType="begin"/>
                      </w:r>
                      <w:r w:rsidRPr="004A6F3D">
                        <w:rPr>
                          <w:rFonts w:ascii="Times New Roman" w:hAnsi="Times New Roman" w:cs="Times New Roman"/>
                          <w:b/>
                          <w:i w:val="0"/>
                          <w:color w:val="auto"/>
                          <w:sz w:val="24"/>
                        </w:rPr>
                        <w:instrText xml:space="preserve"> SEQ Figure \* ARABIC </w:instrText>
                      </w:r>
                      <w:r w:rsidRPr="004A6F3D">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4</w:t>
                      </w:r>
                      <w:bookmarkEnd w:id="37"/>
                      <w:r w:rsidRPr="004A6F3D">
                        <w:rPr>
                          <w:rFonts w:ascii="Times New Roman" w:hAnsi="Times New Roman" w:cs="Times New Roman"/>
                          <w:b/>
                          <w:i w:val="0"/>
                          <w:color w:val="auto"/>
                          <w:sz w:val="24"/>
                        </w:rPr>
                        <w:fldChar w:fldCharType="end"/>
                      </w:r>
                    </w:p>
                  </w:txbxContent>
                </v:textbox>
                <w10:wrap type="square"/>
              </v:shape>
            </w:pict>
          </mc:Fallback>
        </mc:AlternateContent>
      </w:r>
      <w:r>
        <w:rPr>
          <w:rFonts w:ascii="Times New Roman" w:hAnsi="Times New Roman" w:cs="Times New Roman"/>
          <w:noProof/>
          <w:color w:val="000000" w:themeColor="text1"/>
          <w:sz w:val="24"/>
          <w:szCs w:val="24"/>
        </w:rPr>
        <w:drawing>
          <wp:anchor distT="0" distB="0" distL="114300" distR="114300" simplePos="0" relativeHeight="251676672" behindDoc="0" locked="0" layoutInCell="1" allowOverlap="1" wp14:anchorId="7F8B1134" wp14:editId="151FE19E">
            <wp:simplePos x="0" y="0"/>
            <wp:positionH relativeFrom="column">
              <wp:posOffset>0</wp:posOffset>
            </wp:positionH>
            <wp:positionV relativeFrom="paragraph">
              <wp:posOffset>313</wp:posOffset>
            </wp:positionV>
            <wp:extent cx="5944235" cy="4950460"/>
            <wp:effectExtent l="76200" t="76200" r="132715" b="13589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4235" cy="49504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411F1E" w:rsidRPr="00B320BE" w:rsidRDefault="00411F1E" w:rsidP="00B320BE">
      <w:pPr>
        <w:pStyle w:val="Heading2"/>
        <w:spacing w:line="360" w:lineRule="auto"/>
        <w:jc w:val="both"/>
        <w:rPr>
          <w:rFonts w:ascii="Times New Roman" w:hAnsi="Times New Roman" w:cs="Times New Roman"/>
          <w:b/>
          <w:color w:val="000000" w:themeColor="text1"/>
          <w:sz w:val="24"/>
          <w:szCs w:val="24"/>
        </w:rPr>
      </w:pPr>
      <w:bookmarkStart w:id="38" w:name="_Toc156676262"/>
      <w:bookmarkStart w:id="39" w:name="_Toc156845977"/>
      <w:r w:rsidRPr="00B320BE">
        <w:rPr>
          <w:rFonts w:ascii="Times New Roman" w:hAnsi="Times New Roman" w:cs="Times New Roman"/>
          <w:b/>
          <w:color w:val="000000" w:themeColor="text1"/>
          <w:sz w:val="24"/>
          <w:szCs w:val="24"/>
        </w:rPr>
        <w:t>Examining ESG Reporting Frameworks and Governance Standards</w:t>
      </w:r>
      <w:bookmarkEnd w:id="38"/>
      <w:bookmarkEnd w:id="39"/>
    </w:p>
    <w:p w:rsidR="00A12AD5" w:rsidRDefault="00A12AD5" w:rsidP="00B320BE">
      <w:pPr>
        <w:spacing w:line="360" w:lineRule="auto"/>
        <w:jc w:val="both"/>
        <w:rPr>
          <w:rFonts w:ascii="Times New Roman" w:hAnsi="Times New Roman" w:cs="Times New Roman"/>
          <w:color w:val="000000" w:themeColor="text1"/>
          <w:sz w:val="24"/>
          <w:szCs w:val="24"/>
        </w:rPr>
      </w:pPr>
      <w:r w:rsidRPr="00A12AD5">
        <w:rPr>
          <w:rFonts w:ascii="Times New Roman" w:hAnsi="Times New Roman" w:cs="Times New Roman"/>
          <w:color w:val="000000" w:themeColor="text1"/>
          <w:sz w:val="24"/>
          <w:szCs w:val="24"/>
        </w:rPr>
        <w:t>As is shown in their meta-analysis, Lagasio and Cucari provide a detailed overview of the interrelation between corporate governance aspects and ESG disclosures. They provide valuable information on governance structure efficacy in promoting environmental, social and corporate disclosures. However, Christensen discuss the economic impact and potential design goals of mandatory CSR as well as Sustainability reporting in their literature review; The study reveals some influential elements such current topics about economics oriented studies concerning scenario with CSR report (Lagasio and Cucari, 2019).</w:t>
      </w:r>
    </w:p>
    <w:p w:rsidR="00A157DB"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Wilkerson’s work is a foundational piece that familiarizes readers with the environment of ESG reporting standards and frameworks. The report offers an introduction to current standards, thus presenting the shifting dynamics of ESG reporting and frameworks that underlie this practice. This section of Courtnell highlights the complexities associated with ESG reporting frameworks, standards, and requirements</w:t>
      </w:r>
      <w:r w:rsidR="002C08F0" w:rsidRPr="00B320BE">
        <w:rPr>
          <w:rFonts w:ascii="Times New Roman" w:hAnsi="Times New Roman" w:cs="Times New Roman"/>
          <w:color w:val="000000" w:themeColor="text1"/>
          <w:sz w:val="24"/>
          <w:szCs w:val="24"/>
        </w:rPr>
        <w:t xml:space="preserve"> (Jane Courtnell, 2022)</w:t>
      </w:r>
      <w:r w:rsidRPr="00B320BE">
        <w:rPr>
          <w:rFonts w:ascii="Times New Roman" w:hAnsi="Times New Roman" w:cs="Times New Roman"/>
          <w:color w:val="000000" w:themeColor="text1"/>
          <w:sz w:val="24"/>
          <w:szCs w:val="24"/>
        </w:rPr>
        <w:t xml:space="preserve">. </w:t>
      </w:r>
      <w:r w:rsidR="00A157DB" w:rsidRPr="00B320BE">
        <w:rPr>
          <w:rFonts w:ascii="Times New Roman" w:hAnsi="Times New Roman" w:cs="Times New Roman"/>
          <w:color w:val="000000" w:themeColor="text1"/>
          <w:sz w:val="24"/>
          <w:szCs w:val="24"/>
        </w:rPr>
        <w:t xml:space="preserve">The discussed research does not only delineate the current state of affairs but also discusses changes in reporting standards, enabling </w:t>
      </w:r>
      <w:r w:rsidR="000C52B7" w:rsidRPr="00B320BE">
        <w:rPr>
          <w:rFonts w:ascii="Times New Roman" w:hAnsi="Times New Roman" w:cs="Times New Roman"/>
          <w:color w:val="000000" w:themeColor="text1"/>
          <w:sz w:val="24"/>
          <w:szCs w:val="24"/>
        </w:rPr>
        <w:t xml:space="preserve">an </w:t>
      </w:r>
      <w:r w:rsidR="00A157DB" w:rsidRPr="00B320BE">
        <w:rPr>
          <w:rFonts w:ascii="Times New Roman" w:hAnsi="Times New Roman" w:cs="Times New Roman"/>
          <w:color w:val="000000" w:themeColor="text1"/>
          <w:sz w:val="24"/>
          <w:szCs w:val="24"/>
        </w:rPr>
        <w:t xml:space="preserve">understanding </w:t>
      </w:r>
      <w:r w:rsidR="000C52B7" w:rsidRPr="00B320BE">
        <w:rPr>
          <w:rFonts w:ascii="Times New Roman" w:hAnsi="Times New Roman" w:cs="Times New Roman"/>
          <w:color w:val="000000" w:themeColor="text1"/>
          <w:sz w:val="24"/>
          <w:szCs w:val="24"/>
        </w:rPr>
        <w:t xml:space="preserve">of </w:t>
      </w:r>
      <w:r w:rsidR="00A157DB" w:rsidRPr="00B320BE">
        <w:rPr>
          <w:rFonts w:ascii="Times New Roman" w:hAnsi="Times New Roman" w:cs="Times New Roman"/>
          <w:color w:val="000000" w:themeColor="text1"/>
          <w:sz w:val="24"/>
          <w:szCs w:val="24"/>
        </w:rPr>
        <w:t>where regulatory frameworks originated that guide ESG disclosures</w:t>
      </w:r>
      <w:r w:rsidR="002C08F0" w:rsidRPr="00B320BE">
        <w:rPr>
          <w:rFonts w:ascii="Times New Roman" w:hAnsi="Times New Roman" w:cs="Times New Roman"/>
          <w:color w:val="000000" w:themeColor="text1"/>
          <w:sz w:val="24"/>
          <w:szCs w:val="24"/>
        </w:rPr>
        <w:t xml:space="preserve"> (Singhania and Saini, 2021)</w:t>
      </w:r>
      <w:r w:rsidR="00A157DB" w:rsidRPr="00B320BE">
        <w:rPr>
          <w:rFonts w:ascii="Times New Roman" w:hAnsi="Times New Roman" w:cs="Times New Roman"/>
          <w:color w:val="000000" w:themeColor="text1"/>
          <w:sz w:val="24"/>
          <w:szCs w:val="24"/>
        </w:rPr>
        <w:t xml:space="preserve">. </w:t>
      </w:r>
    </w:p>
    <w:p w:rsidR="00E8063C" w:rsidRPr="00B320BE" w:rsidRDefault="00A157DB"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It is what the contribution of Novisto’s Innovation Team provides a list </w:t>
      </w:r>
      <w:r w:rsidR="000C52B7" w:rsidRPr="00B320BE">
        <w:rPr>
          <w:rFonts w:ascii="Times New Roman" w:hAnsi="Times New Roman" w:cs="Times New Roman"/>
          <w:color w:val="000000" w:themeColor="text1"/>
          <w:sz w:val="24"/>
          <w:szCs w:val="24"/>
        </w:rPr>
        <w:t>of</w:t>
      </w:r>
      <w:r w:rsidRPr="00B320BE">
        <w:rPr>
          <w:rFonts w:ascii="Times New Roman" w:hAnsi="Times New Roman" w:cs="Times New Roman"/>
          <w:color w:val="000000" w:themeColor="text1"/>
          <w:sz w:val="24"/>
          <w:szCs w:val="24"/>
        </w:rPr>
        <w:t xml:space="preserve"> top ESG reporting frameworks, standards</w:t>
      </w:r>
      <w:r w:rsidR="000C52B7"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rates. This resource can be used as a practical tool that guides the stakeholders to different reporting frameworks for informed </w:t>
      </w:r>
      <w:r w:rsidR="000C52B7" w:rsidRPr="00B320BE">
        <w:rPr>
          <w:rFonts w:ascii="Times New Roman" w:hAnsi="Times New Roman" w:cs="Times New Roman"/>
          <w:color w:val="000000" w:themeColor="text1"/>
          <w:sz w:val="24"/>
          <w:szCs w:val="24"/>
        </w:rPr>
        <w:t>decision-making</w:t>
      </w:r>
      <w:r w:rsidRPr="00B320BE">
        <w:rPr>
          <w:rFonts w:ascii="Times New Roman" w:hAnsi="Times New Roman" w:cs="Times New Roman"/>
          <w:color w:val="000000" w:themeColor="text1"/>
          <w:sz w:val="24"/>
          <w:szCs w:val="24"/>
        </w:rPr>
        <w:t xml:space="preserve"> on issues concerning </w:t>
      </w:r>
      <w:r w:rsidR="000C52B7" w:rsidRPr="00B320BE">
        <w:rPr>
          <w:rFonts w:ascii="Times New Roman" w:hAnsi="Times New Roman" w:cs="Times New Roman"/>
          <w:color w:val="000000" w:themeColor="text1"/>
          <w:sz w:val="24"/>
          <w:szCs w:val="24"/>
        </w:rPr>
        <w:t>sustainability</w:t>
      </w:r>
      <w:r w:rsidRPr="00B320BE">
        <w:rPr>
          <w:rFonts w:ascii="Times New Roman" w:hAnsi="Times New Roman" w:cs="Times New Roman"/>
          <w:color w:val="000000" w:themeColor="text1"/>
          <w:sz w:val="24"/>
          <w:szCs w:val="24"/>
        </w:rPr>
        <w:t xml:space="preserve"> </w:t>
      </w:r>
      <w:r w:rsidR="000C52B7" w:rsidRPr="00B320BE">
        <w:rPr>
          <w:rFonts w:ascii="Times New Roman" w:hAnsi="Times New Roman" w:cs="Times New Roman"/>
          <w:color w:val="000000" w:themeColor="text1"/>
          <w:sz w:val="24"/>
          <w:szCs w:val="24"/>
        </w:rPr>
        <w:t>reports</w:t>
      </w:r>
      <w:r w:rsidRPr="00B320BE">
        <w:rPr>
          <w:rFonts w:ascii="Times New Roman" w:hAnsi="Times New Roman" w:cs="Times New Roman"/>
          <w:color w:val="000000" w:themeColor="text1"/>
          <w:sz w:val="24"/>
          <w:szCs w:val="24"/>
        </w:rPr>
        <w:t xml:space="preserve">. The corpus of literature on the standards for ESG includes a campus-living study to realize that both governance and reporting mechanisms are essential concerning environmental, social, as well as corporate governance. The divergent images presented in these works contribute to a general view of the requirements for ESG disclosures that lie at the core of all modern business </w:t>
      </w:r>
      <w:r w:rsidR="002C08F0" w:rsidRPr="00B320BE">
        <w:rPr>
          <w:rFonts w:ascii="Times New Roman" w:hAnsi="Times New Roman" w:cs="Times New Roman"/>
          <w:color w:val="000000" w:themeColor="text1"/>
          <w:sz w:val="24"/>
          <w:szCs w:val="24"/>
        </w:rPr>
        <w:t>areas (jhaxell, 2023).</w:t>
      </w:r>
    </w:p>
    <w:p w:rsidR="00A157DB" w:rsidRPr="00B320BE" w:rsidRDefault="00A157DB" w:rsidP="00B320BE">
      <w:pPr>
        <w:spacing w:line="360" w:lineRule="auto"/>
        <w:jc w:val="both"/>
        <w:rPr>
          <w:rFonts w:ascii="Times New Roman" w:hAnsi="Times New Roman" w:cs="Times New Roman"/>
          <w:color w:val="000000" w:themeColor="text1"/>
          <w:sz w:val="24"/>
          <w:szCs w:val="24"/>
        </w:rPr>
      </w:pPr>
    </w:p>
    <w:p w:rsidR="00FE4E9F" w:rsidRPr="00B320BE" w:rsidRDefault="00411F1E" w:rsidP="00B320BE">
      <w:pPr>
        <w:pStyle w:val="Heading2"/>
        <w:spacing w:line="360" w:lineRule="auto"/>
        <w:jc w:val="both"/>
        <w:rPr>
          <w:rFonts w:ascii="Times New Roman" w:hAnsi="Times New Roman" w:cs="Times New Roman"/>
          <w:b/>
          <w:color w:val="000000" w:themeColor="text1"/>
          <w:sz w:val="24"/>
          <w:szCs w:val="24"/>
        </w:rPr>
      </w:pPr>
      <w:bookmarkStart w:id="40" w:name="_Toc156676263"/>
      <w:bookmarkStart w:id="41" w:name="_Toc156845978"/>
      <w:r w:rsidRPr="00B320BE">
        <w:rPr>
          <w:rFonts w:ascii="Times New Roman" w:hAnsi="Times New Roman" w:cs="Times New Roman"/>
          <w:b/>
          <w:color w:val="000000" w:themeColor="text1"/>
          <w:sz w:val="24"/>
          <w:szCs w:val="24"/>
        </w:rPr>
        <w:t>The Evolutio</w:t>
      </w:r>
      <w:r w:rsidR="00FE4E9F" w:rsidRPr="00B320BE">
        <w:rPr>
          <w:rFonts w:ascii="Times New Roman" w:hAnsi="Times New Roman" w:cs="Times New Roman"/>
          <w:b/>
          <w:color w:val="000000" w:themeColor="text1"/>
          <w:sz w:val="24"/>
          <w:szCs w:val="24"/>
        </w:rPr>
        <w:t>n of Financial Markets and ESG</w:t>
      </w:r>
      <w:bookmarkEnd w:id="40"/>
      <w:bookmarkEnd w:id="41"/>
    </w:p>
    <w:p w:rsidR="00E8063C" w:rsidRPr="00B320BE" w:rsidRDefault="0036172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Sustainability has been the core theme in financial markets and this growing interest towards sustainability directly can be equated to </w:t>
      </w:r>
      <w:r w:rsidR="000C52B7"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Paris Agreement. This evolution is incorporated into the center of ESG values. Carney adds that the financial sector is one of the primary decarbonized keys and efforts from around to world on `fight’ against climate </w:t>
      </w:r>
      <w:r w:rsidR="002C08F0" w:rsidRPr="00B320BE">
        <w:rPr>
          <w:rFonts w:ascii="Times New Roman" w:hAnsi="Times New Roman" w:cs="Times New Roman"/>
          <w:color w:val="000000" w:themeColor="text1"/>
          <w:sz w:val="24"/>
          <w:szCs w:val="24"/>
        </w:rPr>
        <w:t>change (Carney et al., 2015).</w:t>
      </w:r>
      <w:r w:rsidRPr="00B320BE">
        <w:rPr>
          <w:rFonts w:ascii="Times New Roman" w:hAnsi="Times New Roman" w:cs="Times New Roman"/>
          <w:color w:val="000000" w:themeColor="text1"/>
          <w:sz w:val="24"/>
          <w:szCs w:val="24"/>
        </w:rPr>
        <w:t xml:space="preserve"> The urgency of the Paris </w:t>
      </w:r>
      <w:r w:rsidR="000C52B7" w:rsidRPr="00B320BE">
        <w:rPr>
          <w:rFonts w:ascii="Times New Roman" w:hAnsi="Times New Roman" w:cs="Times New Roman"/>
          <w:color w:val="000000" w:themeColor="text1"/>
          <w:sz w:val="24"/>
          <w:szCs w:val="24"/>
        </w:rPr>
        <w:t>Agreement</w:t>
      </w:r>
      <w:r w:rsidRPr="00B320BE">
        <w:rPr>
          <w:rFonts w:ascii="Times New Roman" w:hAnsi="Times New Roman" w:cs="Times New Roman"/>
          <w:color w:val="000000" w:themeColor="text1"/>
          <w:sz w:val="24"/>
          <w:szCs w:val="24"/>
        </w:rPr>
        <w:t xml:space="preserve"> has led to a revolution in the concept and strategy operations </w:t>
      </w:r>
      <w:r w:rsidR="00FD13C0" w:rsidRPr="00B320BE">
        <w:rPr>
          <w:rFonts w:ascii="Times New Roman" w:hAnsi="Times New Roman" w:cs="Times New Roman"/>
          <w:color w:val="000000" w:themeColor="text1"/>
          <w:sz w:val="24"/>
          <w:szCs w:val="24"/>
        </w:rPr>
        <w:t xml:space="preserve">that </w:t>
      </w:r>
      <w:r w:rsidRPr="00B320BE">
        <w:rPr>
          <w:rFonts w:ascii="Times New Roman" w:hAnsi="Times New Roman" w:cs="Times New Roman"/>
          <w:color w:val="000000" w:themeColor="text1"/>
          <w:sz w:val="24"/>
          <w:szCs w:val="24"/>
        </w:rPr>
        <w:t>have come up as they are mainly based on sustainability principles</w:t>
      </w:r>
      <w:r w:rsidR="002C08F0" w:rsidRPr="00B320BE">
        <w:rPr>
          <w:rFonts w:ascii="Times New Roman" w:hAnsi="Times New Roman" w:cs="Times New Roman"/>
          <w:color w:val="000000" w:themeColor="text1"/>
          <w:sz w:val="24"/>
          <w:szCs w:val="24"/>
        </w:rPr>
        <w:t xml:space="preserve"> (Sheren et al., 2015).</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At the same time, public figures, academics, and business leaders have all played a transformative role in influencing how ESG factors are viewed by those working within an organization’s financial sector. Of key importance, the pronouncements of Prince Charles </w:t>
      </w:r>
      <w:r w:rsidR="0074730C" w:rsidRPr="00B320BE">
        <w:rPr>
          <w:rFonts w:ascii="Times New Roman" w:hAnsi="Times New Roman" w:cs="Times New Roman"/>
          <w:color w:val="000000" w:themeColor="text1"/>
          <w:sz w:val="24"/>
          <w:szCs w:val="24"/>
        </w:rPr>
        <w:t>(Duque-Grisales and Aguilera-Caracuel, 2021)</w:t>
      </w:r>
      <w:r w:rsidRPr="00B320BE">
        <w:rPr>
          <w:rFonts w:ascii="Times New Roman" w:hAnsi="Times New Roman" w:cs="Times New Roman"/>
          <w:color w:val="000000" w:themeColor="text1"/>
          <w:sz w:val="24"/>
          <w:szCs w:val="24"/>
        </w:rPr>
        <w:t>, academic contributions (</w:t>
      </w:r>
      <w:r w:rsidR="0074730C" w:rsidRPr="00B320BE">
        <w:rPr>
          <w:rFonts w:ascii="Times New Roman" w:hAnsi="Times New Roman" w:cs="Times New Roman"/>
          <w:color w:val="000000" w:themeColor="text1"/>
          <w:sz w:val="24"/>
          <w:szCs w:val="24"/>
        </w:rPr>
        <w:t>(Klapper, Oberstrass, and Upham, 2021</w:t>
      </w:r>
      <w:r w:rsidRPr="00B320BE">
        <w:rPr>
          <w:rFonts w:ascii="Times New Roman" w:hAnsi="Times New Roman" w:cs="Times New Roman"/>
          <w:color w:val="000000" w:themeColor="text1"/>
          <w:sz w:val="24"/>
          <w:szCs w:val="24"/>
        </w:rPr>
        <w:t xml:space="preserve">), and top financial banks' exhortation for reviewing risk and investment strategies have cumulatively accelerated thinking. This combination of factors brings to the fore a much wider societal demand </w:t>
      </w:r>
      <w:r w:rsidRPr="00B320BE">
        <w:rPr>
          <w:rFonts w:ascii="Times New Roman" w:hAnsi="Times New Roman" w:cs="Times New Roman"/>
          <w:color w:val="000000" w:themeColor="text1"/>
          <w:sz w:val="24"/>
          <w:szCs w:val="24"/>
        </w:rPr>
        <w:lastRenderedPageBreak/>
        <w:t>for more accountable and sustainable financial practices that shows how leadership figures have shaped new attitudes towards finance.</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financial crisis of 2008 had a lasting impact on ESG norms and laws. With this crisis, there has been unprecedented growth in assessments that draw on lessons from the root causes and intended capital model modifications (Cornett et al., 2011). In response to these events, the post-crisis period saw action from both industries and regulatory authorities that led to enhanced norms and laws. In the aftermath of the financial crisis, sustainable and responsible considerations became a catalyst in promoting changes aimed at aligning financial practices to it.</w:t>
      </w:r>
      <w:r w:rsidR="00A532EC" w:rsidRPr="00B320BE">
        <w:rPr>
          <w:rFonts w:ascii="Times New Roman" w:hAnsi="Times New Roman" w:cs="Times New Roman"/>
          <w:color w:val="000000" w:themeColor="text1"/>
          <w:sz w:val="24"/>
          <w:szCs w:val="24"/>
        </w:rPr>
        <w:t xml:space="preserve"> </w:t>
      </w:r>
      <w:r w:rsidRPr="00B320BE">
        <w:rPr>
          <w:rFonts w:ascii="Times New Roman" w:hAnsi="Times New Roman" w:cs="Times New Roman"/>
          <w:color w:val="000000" w:themeColor="text1"/>
          <w:sz w:val="24"/>
          <w:szCs w:val="24"/>
        </w:rPr>
        <w:t xml:space="preserve">However, the advent of the ESG model which is discussed in detail by </w:t>
      </w:r>
      <w:r w:rsidR="0074730C" w:rsidRPr="00B320BE">
        <w:rPr>
          <w:rFonts w:ascii="Times New Roman" w:hAnsi="Times New Roman" w:cs="Times New Roman"/>
          <w:color w:val="000000" w:themeColor="text1"/>
          <w:sz w:val="24"/>
          <w:szCs w:val="24"/>
        </w:rPr>
        <w:t xml:space="preserve">Robins </w:t>
      </w:r>
      <w:r w:rsidRPr="00B320BE">
        <w:rPr>
          <w:rFonts w:ascii="Times New Roman" w:hAnsi="Times New Roman" w:cs="Times New Roman"/>
          <w:color w:val="000000" w:themeColor="text1"/>
          <w:sz w:val="24"/>
          <w:szCs w:val="24"/>
        </w:rPr>
        <w:t>and based on a 2004 UN Global Compact report showed signs of revolutionary change in developing models for society</w:t>
      </w:r>
      <w:r w:rsidR="0074730C" w:rsidRPr="00B320BE">
        <w:rPr>
          <w:rFonts w:ascii="Times New Roman" w:hAnsi="Times New Roman" w:cs="Times New Roman"/>
          <w:color w:val="000000" w:themeColor="text1"/>
          <w:sz w:val="24"/>
          <w:szCs w:val="24"/>
        </w:rPr>
        <w:t xml:space="preserve"> (Krosinsky and Robins, 2012)</w:t>
      </w:r>
      <w:r w:rsidRPr="00B320BE">
        <w:rPr>
          <w:rFonts w:ascii="Times New Roman" w:hAnsi="Times New Roman" w:cs="Times New Roman"/>
          <w:color w:val="000000" w:themeColor="text1"/>
          <w:sz w:val="24"/>
          <w:szCs w:val="24"/>
        </w:rPr>
        <w:t>. This model represents a comprehensive approach to sustainable business that takes into account environmental, social, and governance factors. The relationship between these pillars reflects a holistic framework for organizations to tackle issues dealing with risk management, compliance, and its impact on society</w:t>
      </w:r>
      <w:r w:rsidR="00C30366" w:rsidRPr="00B320BE">
        <w:rPr>
          <w:rFonts w:ascii="Times New Roman" w:hAnsi="Times New Roman" w:cs="Times New Roman"/>
          <w:color w:val="000000" w:themeColor="text1"/>
          <w:sz w:val="24"/>
          <w:szCs w:val="24"/>
        </w:rPr>
        <w:t xml:space="preserve"> (Williams, 2004)</w:t>
      </w:r>
      <w:r w:rsidRPr="00B320BE">
        <w:rPr>
          <w:rFonts w:ascii="Times New Roman" w:hAnsi="Times New Roman" w:cs="Times New Roman"/>
          <w:color w:val="000000" w:themeColor="text1"/>
          <w:sz w:val="24"/>
          <w:szCs w:val="24"/>
        </w:rPr>
        <w:t>. The ESG model incorporates a holistic, evolving, and interdependent view of corporate governance and performance.</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There has been a notable increase in interest and investment in ESG considerations since the year 2006 to date. According to PWC, there was a significant increase in the number of organizations </w:t>
      </w:r>
      <w:r w:rsidR="00FD13C0" w:rsidRPr="00B320BE">
        <w:rPr>
          <w:rFonts w:ascii="Times New Roman" w:hAnsi="Times New Roman" w:cs="Times New Roman"/>
          <w:color w:val="000000" w:themeColor="text1"/>
          <w:sz w:val="24"/>
          <w:szCs w:val="24"/>
        </w:rPr>
        <w:t>in</w:t>
      </w:r>
      <w:r w:rsidRPr="00B320BE">
        <w:rPr>
          <w:rFonts w:ascii="Times New Roman" w:hAnsi="Times New Roman" w:cs="Times New Roman"/>
          <w:color w:val="000000" w:themeColor="text1"/>
          <w:sz w:val="24"/>
          <w:szCs w:val="24"/>
        </w:rPr>
        <w:t xml:space="preserve"> responsible i</w:t>
      </w:r>
      <w:r w:rsidR="00C30366" w:rsidRPr="00B320BE">
        <w:rPr>
          <w:rFonts w:ascii="Times New Roman" w:hAnsi="Times New Roman" w:cs="Times New Roman"/>
          <w:color w:val="000000" w:themeColor="text1"/>
          <w:sz w:val="24"/>
          <w:szCs w:val="24"/>
        </w:rPr>
        <w:t>nvesting from 63 recorded in ‎ </w:t>
      </w:r>
      <w:r w:rsidRPr="00B320BE">
        <w:rPr>
          <w:rFonts w:ascii="Times New Roman" w:hAnsi="Times New Roman" w:cs="Times New Roman"/>
          <w:color w:val="000000" w:themeColor="text1"/>
          <w:sz w:val="24"/>
          <w:szCs w:val="24"/>
        </w:rPr>
        <w:t>1947</w:t>
      </w:r>
      <w:r w:rsidR="00C30366" w:rsidRPr="00B320BE">
        <w:rPr>
          <w:rFonts w:ascii="Times New Roman" w:hAnsi="Times New Roman" w:cs="Times New Roman"/>
          <w:color w:val="000000" w:themeColor="text1"/>
          <w:sz w:val="24"/>
          <w:szCs w:val="24"/>
        </w:rPr>
        <w:t xml:space="preserve"> (PWC, 2020)</w:t>
      </w:r>
      <w:r w:rsidRPr="00B320BE">
        <w:rPr>
          <w:rFonts w:ascii="Times New Roman" w:hAnsi="Times New Roman" w:cs="Times New Roman"/>
          <w:color w:val="000000" w:themeColor="text1"/>
          <w:sz w:val="24"/>
          <w:szCs w:val="24"/>
        </w:rPr>
        <w:t>. In this period of transition, the assets that these organizations managed simultaneously increased from $6.5 trillion to 68.4tr</w:t>
      </w:r>
      <w:r w:rsidR="00C30366" w:rsidRPr="00B320BE">
        <w:rPr>
          <w:rFonts w:ascii="Times New Roman" w:hAnsi="Times New Roman" w:cs="Times New Roman"/>
          <w:color w:val="000000" w:themeColor="text1"/>
          <w:sz w:val="24"/>
          <w:szCs w:val="24"/>
        </w:rPr>
        <w:t>illio</w:t>
      </w:r>
      <w:r w:rsidRPr="00B320BE">
        <w:rPr>
          <w:rFonts w:ascii="Times New Roman" w:hAnsi="Times New Roman" w:cs="Times New Roman"/>
          <w:color w:val="000000" w:themeColor="text1"/>
          <w:sz w:val="24"/>
          <w:szCs w:val="24"/>
        </w:rPr>
        <w:t>n This data supports the paradigm change as ESG investments have become “the investment opportunity of a century”, justifying predictions that will continue to remain dominant in developed countries (PWC, 2020).</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E8063C" w:rsidRPr="00B320BE" w:rsidRDefault="00E8063C" w:rsidP="00B320BE">
      <w:pPr>
        <w:pStyle w:val="Heading2"/>
        <w:spacing w:line="360" w:lineRule="auto"/>
        <w:jc w:val="both"/>
        <w:rPr>
          <w:rFonts w:ascii="Times New Roman" w:hAnsi="Times New Roman" w:cs="Times New Roman"/>
          <w:b/>
          <w:color w:val="000000" w:themeColor="text1"/>
          <w:sz w:val="24"/>
          <w:szCs w:val="24"/>
        </w:rPr>
      </w:pPr>
      <w:bookmarkStart w:id="42" w:name="_Toc156676264"/>
      <w:bookmarkStart w:id="43" w:name="_Toc156845979"/>
      <w:r w:rsidRPr="00B320BE">
        <w:rPr>
          <w:rFonts w:ascii="Times New Roman" w:hAnsi="Times New Roman" w:cs="Times New Roman"/>
          <w:b/>
          <w:color w:val="000000" w:themeColor="text1"/>
          <w:sz w:val="24"/>
          <w:szCs w:val="24"/>
        </w:rPr>
        <w:t>Opportunities and Challenges in ESG Research</w:t>
      </w:r>
      <w:bookmarkEnd w:id="42"/>
      <w:bookmarkEnd w:id="43"/>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However, the vague nature and quick evolution of ESG concepts </w:t>
      </w:r>
      <w:r w:rsidR="00623495" w:rsidRPr="00B320BE">
        <w:rPr>
          <w:rFonts w:ascii="Times New Roman" w:hAnsi="Times New Roman" w:cs="Times New Roman"/>
          <w:color w:val="000000" w:themeColor="text1"/>
          <w:sz w:val="24"/>
          <w:szCs w:val="24"/>
        </w:rPr>
        <w:t>make</w:t>
      </w:r>
      <w:r w:rsidRPr="00B320BE">
        <w:rPr>
          <w:rFonts w:ascii="Times New Roman" w:hAnsi="Times New Roman" w:cs="Times New Roman"/>
          <w:color w:val="000000" w:themeColor="text1"/>
          <w:sz w:val="24"/>
          <w:szCs w:val="24"/>
        </w:rPr>
        <w:t xml:space="preserve"> it difficult to navigate this living but moving space. The numerous aspects of ESG and its implementation in business require constant amendment to terms and concepts. This is a dynamic environment that warrants constant scholarly interaction to have relevant and meaningful incorporation of ESG</w:t>
      </w:r>
      <w:r w:rsidR="00A532EC" w:rsidRPr="00B320BE">
        <w:rPr>
          <w:rFonts w:ascii="Times New Roman" w:hAnsi="Times New Roman" w:cs="Times New Roman"/>
          <w:color w:val="000000" w:themeColor="text1"/>
          <w:sz w:val="24"/>
          <w:szCs w:val="24"/>
        </w:rPr>
        <w:t xml:space="preserve"> factors in various industries. </w:t>
      </w:r>
      <w:r w:rsidRPr="00B320BE">
        <w:rPr>
          <w:rFonts w:ascii="Times New Roman" w:hAnsi="Times New Roman" w:cs="Times New Roman"/>
          <w:color w:val="000000" w:themeColor="text1"/>
          <w:sz w:val="24"/>
          <w:szCs w:val="24"/>
        </w:rPr>
        <w:t xml:space="preserve">One of the main obstacles to uniformity in disclosure practices is that ESG reporting </w:t>
      </w:r>
      <w:r w:rsidRPr="00B320BE">
        <w:rPr>
          <w:rFonts w:ascii="Times New Roman" w:hAnsi="Times New Roman" w:cs="Times New Roman"/>
          <w:color w:val="000000" w:themeColor="text1"/>
          <w:sz w:val="24"/>
          <w:szCs w:val="24"/>
        </w:rPr>
        <w:lastRenderedPageBreak/>
        <w:t>standards are very complex. Accord</w:t>
      </w:r>
      <w:r w:rsidR="00E27D53" w:rsidRPr="00B320BE">
        <w:rPr>
          <w:rFonts w:ascii="Times New Roman" w:hAnsi="Times New Roman" w:cs="Times New Roman"/>
          <w:color w:val="000000" w:themeColor="text1"/>
          <w:sz w:val="24"/>
          <w:szCs w:val="24"/>
        </w:rPr>
        <w:t xml:space="preserve">ing to Tamimi and Sebastianelli, </w:t>
      </w:r>
      <w:r w:rsidRPr="00B320BE">
        <w:rPr>
          <w:rFonts w:ascii="Times New Roman" w:hAnsi="Times New Roman" w:cs="Times New Roman"/>
          <w:color w:val="000000" w:themeColor="text1"/>
          <w:sz w:val="24"/>
          <w:szCs w:val="24"/>
        </w:rPr>
        <w:t>there is a gap in disclosure levels between environmental, social, and governance elements that form an ESG landscape beautifully in terms of quality as well as transparency. Inconsistencies in reporting practices amongst companies and sectors are due to the lack of standardized frameworks, limiting comparability and evaluation</w:t>
      </w:r>
      <w:r w:rsidR="00E27D53" w:rsidRPr="00B320BE">
        <w:rPr>
          <w:rFonts w:ascii="Times New Roman" w:hAnsi="Times New Roman" w:cs="Times New Roman"/>
          <w:color w:val="000000" w:themeColor="text1"/>
          <w:sz w:val="24"/>
          <w:szCs w:val="24"/>
        </w:rPr>
        <w:t xml:space="preserve"> (Tamimi and Sebastianelli, 2017)</w:t>
      </w:r>
      <w:r w:rsidRPr="00B320BE">
        <w:rPr>
          <w:rFonts w:ascii="Times New Roman" w:hAnsi="Times New Roman" w:cs="Times New Roman"/>
          <w:color w:val="000000" w:themeColor="text1"/>
          <w:sz w:val="24"/>
          <w:szCs w:val="24"/>
        </w:rPr>
        <w:t>.</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While ESG ratings are important in the hands of stakeholders, they may not be free from any limitations. Drempetic </w:t>
      </w:r>
      <w:r w:rsidR="00FD13C0" w:rsidRPr="00B320BE">
        <w:rPr>
          <w:rFonts w:ascii="Times New Roman" w:hAnsi="Times New Roman" w:cs="Times New Roman"/>
          <w:color w:val="000000" w:themeColor="text1"/>
          <w:sz w:val="24"/>
          <w:szCs w:val="24"/>
        </w:rPr>
        <w:t>points</w:t>
      </w:r>
      <w:r w:rsidRPr="00B320BE">
        <w:rPr>
          <w:rFonts w:ascii="Times New Roman" w:hAnsi="Times New Roman" w:cs="Times New Roman"/>
          <w:color w:val="000000" w:themeColor="text1"/>
          <w:sz w:val="24"/>
          <w:szCs w:val="24"/>
        </w:rPr>
        <w:t xml:space="preserve"> out that today's ESG ratings may not adequately represent a firm’s actual behavior regarding the factors of sustainable investment</w:t>
      </w:r>
      <w:r w:rsidR="00E27D53" w:rsidRPr="00B320BE">
        <w:rPr>
          <w:rFonts w:ascii="Times New Roman" w:hAnsi="Times New Roman" w:cs="Times New Roman"/>
          <w:color w:val="000000" w:themeColor="text1"/>
          <w:sz w:val="24"/>
          <w:szCs w:val="24"/>
        </w:rPr>
        <w:t xml:space="preserve"> (Drempetic, Klein and Zwergel, 2020).</w:t>
      </w:r>
      <w:r w:rsidRPr="00B320BE">
        <w:rPr>
          <w:rFonts w:ascii="Times New Roman" w:hAnsi="Times New Roman" w:cs="Times New Roman"/>
          <w:color w:val="000000" w:themeColor="text1"/>
          <w:sz w:val="24"/>
          <w:szCs w:val="24"/>
        </w:rPr>
        <w:t xml:space="preserve"> The limitations of existing rating systems highlight requirements for improvement and innovation in measuring </w:t>
      </w:r>
      <w:r w:rsidR="00A532EC" w:rsidRPr="00B320BE">
        <w:rPr>
          <w:rFonts w:ascii="Times New Roman" w:hAnsi="Times New Roman" w:cs="Times New Roman"/>
          <w:color w:val="000000" w:themeColor="text1"/>
          <w:sz w:val="24"/>
          <w:szCs w:val="24"/>
        </w:rPr>
        <w:t xml:space="preserve">all aspects of ESG performance. </w:t>
      </w:r>
      <w:r w:rsidRPr="00B320BE">
        <w:rPr>
          <w:rFonts w:ascii="Times New Roman" w:hAnsi="Times New Roman" w:cs="Times New Roman"/>
          <w:color w:val="000000" w:themeColor="text1"/>
          <w:sz w:val="24"/>
          <w:szCs w:val="24"/>
        </w:rPr>
        <w:t>One of the key aspects of ESG analysis deals with analyzing the complicated correlation between performance in terms of ES</w:t>
      </w:r>
      <w:r w:rsidR="00E27D53" w:rsidRPr="00B320BE">
        <w:rPr>
          <w:rFonts w:ascii="Times New Roman" w:hAnsi="Times New Roman" w:cs="Times New Roman"/>
          <w:color w:val="000000" w:themeColor="text1"/>
          <w:sz w:val="24"/>
          <w:szCs w:val="24"/>
        </w:rPr>
        <w:t>G and financial success. Peloza</w:t>
      </w:r>
      <w:r w:rsidRPr="00B320BE">
        <w:rPr>
          <w:rFonts w:ascii="Times New Roman" w:hAnsi="Times New Roman" w:cs="Times New Roman"/>
          <w:color w:val="000000" w:themeColor="text1"/>
          <w:sz w:val="24"/>
          <w:szCs w:val="24"/>
        </w:rPr>
        <w:t xml:space="preserve"> claims that there are various correlations, thus calling for an intricate interplay between ESG behavior and financial performance whereby a positive relationship is noticeable</w:t>
      </w:r>
      <w:r w:rsidR="00E27D53" w:rsidRPr="00B320BE">
        <w:rPr>
          <w:rFonts w:ascii="Times New Roman" w:hAnsi="Times New Roman" w:cs="Times New Roman"/>
          <w:color w:val="000000" w:themeColor="text1"/>
          <w:sz w:val="24"/>
          <w:szCs w:val="24"/>
        </w:rPr>
        <w:t xml:space="preserve"> (Peloza, 2009)</w:t>
      </w:r>
      <w:r w:rsidRPr="00B320BE">
        <w:rPr>
          <w:rFonts w:ascii="Times New Roman" w:hAnsi="Times New Roman" w:cs="Times New Roman"/>
          <w:color w:val="000000" w:themeColor="text1"/>
          <w:sz w:val="24"/>
          <w:szCs w:val="24"/>
        </w:rPr>
        <w:t>. Yet, the changes are parameterized with differences from one industry to another as well as between different countries. The investigation of this connection is still at the center of attention for scholars trying to make sense of the financial aspects concerning sustainable and responsible business approaches.</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However, despite significant headway made, ESG research is handicapped by question marks and uncertainties. The dynamic nature of ESG involvement requires constant research into unaddressed aspects. Topics that still require further study include the lasting impact of ESG practices on financial performance, effectiveness related to regulative frameworks as well as scalability.</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FE4E9F" w:rsidRPr="00B320BE" w:rsidRDefault="00FE4E9F" w:rsidP="00B320BE">
      <w:pPr>
        <w:pStyle w:val="Heading2"/>
        <w:spacing w:line="360" w:lineRule="auto"/>
        <w:jc w:val="both"/>
        <w:rPr>
          <w:rFonts w:ascii="Times New Roman" w:hAnsi="Times New Roman" w:cs="Times New Roman"/>
          <w:b/>
          <w:color w:val="000000" w:themeColor="text1"/>
          <w:sz w:val="24"/>
          <w:szCs w:val="24"/>
        </w:rPr>
      </w:pPr>
      <w:bookmarkStart w:id="44" w:name="_Toc156676265"/>
      <w:bookmarkStart w:id="45" w:name="_Toc156845980"/>
      <w:r w:rsidRPr="00B320BE">
        <w:rPr>
          <w:rFonts w:ascii="Times New Roman" w:hAnsi="Times New Roman" w:cs="Times New Roman"/>
          <w:b/>
          <w:color w:val="000000" w:themeColor="text1"/>
          <w:sz w:val="24"/>
          <w:szCs w:val="24"/>
        </w:rPr>
        <w:t>Conclusion</w:t>
      </w:r>
      <w:bookmarkEnd w:id="44"/>
      <w:bookmarkEnd w:id="45"/>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Summarizing the extensive literature reviewed, salient trends emerge as revealed in this transformative journey of financial markets to higher incorporation levels. The literature has shed light on the critical interactions between global commitments, influential leaders, historical occurrences, and the origin of the ESG model. The growth has been exemplified by the rising interest, investments, and responses from regulatory authorities in integrating sustainability aspects into financial practices.</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While the respective knowledge base is robust, there remain gaps in our understanding of ESG dynamics. These gaps provide lines for further investigation. The researchers should go on and explore the complicated issues regarding integrating ESG with financial crises, bringing some order to reporting standards for improved consistency, testing how different types of behavior are associa</w:t>
      </w:r>
      <w:r w:rsidR="0024740B">
        <w:rPr>
          <w:rFonts w:ascii="Times New Roman" w:hAnsi="Times New Roman" w:cs="Times New Roman"/>
          <w:color w:val="000000" w:themeColor="text1"/>
          <w:sz w:val="24"/>
          <w:szCs w:val="24"/>
        </w:rPr>
        <w:t>ted with performance in terms h</w:t>
      </w:r>
      <w:r w:rsidRPr="00B320BE">
        <w:rPr>
          <w:rFonts w:ascii="Times New Roman" w:hAnsi="Times New Roman" w:cs="Times New Roman"/>
          <w:color w:val="000000" w:themeColor="text1"/>
          <w:sz w:val="24"/>
          <w:szCs w:val="24"/>
        </w:rPr>
        <w:t>euristically, supplementary inquiries into new territories including the influence of digital transformations on ESG strategies give encouraging trends for developing our understanding of sustainable finance.</w:t>
      </w:r>
    </w:p>
    <w:p w:rsidR="00E8063C" w:rsidRPr="00B320BE" w:rsidRDefault="00E8063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reviewed literature, as a result, highlights the development of financial markets in terms </w:t>
      </w:r>
      <w:r w:rsidR="005E0E46" w:rsidRPr="00B320BE">
        <w:rPr>
          <w:rFonts w:ascii="Times New Roman" w:hAnsi="Times New Roman" w:cs="Times New Roman"/>
          <w:color w:val="000000" w:themeColor="text1"/>
          <w:sz w:val="24"/>
          <w:szCs w:val="24"/>
        </w:rPr>
        <w:t xml:space="preserve">of </w:t>
      </w:r>
      <w:r w:rsidRPr="00B320BE">
        <w:rPr>
          <w:rFonts w:ascii="Times New Roman" w:hAnsi="Times New Roman" w:cs="Times New Roman"/>
          <w:color w:val="000000" w:themeColor="text1"/>
          <w:sz w:val="24"/>
          <w:szCs w:val="24"/>
        </w:rPr>
        <w:t xml:space="preserve">ESG implications and thus describes this transformative process to be dynamically developing over. The reviewed literature, as a result, highlights the development of financial markets in terms </w:t>
      </w:r>
      <w:r w:rsidR="005E0E46" w:rsidRPr="00B320BE">
        <w:rPr>
          <w:rFonts w:ascii="Times New Roman" w:hAnsi="Times New Roman" w:cs="Times New Roman"/>
          <w:color w:val="000000" w:themeColor="text1"/>
          <w:sz w:val="24"/>
          <w:szCs w:val="24"/>
        </w:rPr>
        <w:t xml:space="preserve">of </w:t>
      </w:r>
      <w:r w:rsidRPr="00B320BE">
        <w:rPr>
          <w:rFonts w:ascii="Times New Roman" w:hAnsi="Times New Roman" w:cs="Times New Roman"/>
          <w:color w:val="000000" w:themeColor="text1"/>
          <w:sz w:val="24"/>
          <w:szCs w:val="24"/>
        </w:rPr>
        <w:t xml:space="preserve">ESG implications and thus describes this transformative process to be dynamically developing over. With time as financial landscapes continue to morph towards integrating sustainability imperatives, the challenges and opportunities relating </w:t>
      </w:r>
      <w:r w:rsidR="005E0E46" w:rsidRPr="00B320BE">
        <w:rPr>
          <w:rFonts w:ascii="Times New Roman" w:hAnsi="Times New Roman" w:cs="Times New Roman"/>
          <w:color w:val="000000" w:themeColor="text1"/>
          <w:sz w:val="24"/>
          <w:szCs w:val="24"/>
        </w:rPr>
        <w:t>to</w:t>
      </w:r>
      <w:r w:rsidRPr="00B320BE">
        <w:rPr>
          <w:rFonts w:ascii="Times New Roman" w:hAnsi="Times New Roman" w:cs="Times New Roman"/>
          <w:color w:val="000000" w:themeColor="text1"/>
          <w:sz w:val="24"/>
          <w:szCs w:val="24"/>
        </w:rPr>
        <w:t xml:space="preserve"> ESG research call for scholars of this field </w:t>
      </w:r>
      <w:r w:rsidR="005E0E46" w:rsidRPr="00B320BE">
        <w:rPr>
          <w:rFonts w:ascii="Times New Roman" w:hAnsi="Times New Roman" w:cs="Times New Roman"/>
          <w:color w:val="000000" w:themeColor="text1"/>
          <w:sz w:val="24"/>
          <w:szCs w:val="24"/>
        </w:rPr>
        <w:t>to contribute</w:t>
      </w:r>
      <w:r w:rsidRPr="00B320BE">
        <w:rPr>
          <w:rFonts w:ascii="Times New Roman" w:hAnsi="Times New Roman" w:cs="Times New Roman"/>
          <w:color w:val="000000" w:themeColor="text1"/>
          <w:sz w:val="24"/>
          <w:szCs w:val="24"/>
        </w:rPr>
        <w:t xml:space="preserve"> </w:t>
      </w:r>
      <w:r w:rsidR="005E0E46" w:rsidRPr="00B320BE">
        <w:rPr>
          <w:rFonts w:ascii="Times New Roman" w:hAnsi="Times New Roman" w:cs="Times New Roman"/>
          <w:color w:val="000000" w:themeColor="text1"/>
          <w:sz w:val="24"/>
          <w:szCs w:val="24"/>
        </w:rPr>
        <w:t>to</w:t>
      </w:r>
      <w:r w:rsidRPr="00B320BE">
        <w:rPr>
          <w:rFonts w:ascii="Times New Roman" w:hAnsi="Times New Roman" w:cs="Times New Roman"/>
          <w:color w:val="000000" w:themeColor="text1"/>
          <w:sz w:val="24"/>
          <w:szCs w:val="24"/>
        </w:rPr>
        <w:t xml:space="preserve"> an increasingly dynamic discourse on developing responsible future finance.</w:t>
      </w:r>
    </w:p>
    <w:p w:rsidR="0020758F" w:rsidRPr="00B320BE" w:rsidRDefault="0020758F" w:rsidP="00B320BE">
      <w:pPr>
        <w:spacing w:line="360" w:lineRule="auto"/>
        <w:jc w:val="both"/>
        <w:rPr>
          <w:rFonts w:ascii="Times New Roman" w:hAnsi="Times New Roman" w:cs="Times New Roman"/>
          <w:color w:val="000000" w:themeColor="text1"/>
          <w:sz w:val="24"/>
          <w:szCs w:val="24"/>
        </w:rPr>
      </w:pP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5D47AE" w:rsidRDefault="005D47AE" w:rsidP="00B320BE">
      <w:pPr>
        <w:spacing w:line="360" w:lineRule="auto"/>
        <w:jc w:val="both"/>
        <w:rPr>
          <w:rFonts w:ascii="Times New Roman" w:hAnsi="Times New Roman" w:cs="Times New Roman"/>
          <w:color w:val="000000" w:themeColor="text1"/>
          <w:sz w:val="24"/>
          <w:szCs w:val="24"/>
        </w:rPr>
      </w:pPr>
    </w:p>
    <w:p w:rsidR="00B320BE" w:rsidRDefault="00B320BE" w:rsidP="00B320BE">
      <w:pPr>
        <w:spacing w:line="360" w:lineRule="auto"/>
        <w:jc w:val="both"/>
        <w:rPr>
          <w:rFonts w:ascii="Times New Roman" w:hAnsi="Times New Roman" w:cs="Times New Roman"/>
          <w:color w:val="000000" w:themeColor="text1"/>
          <w:sz w:val="24"/>
          <w:szCs w:val="24"/>
        </w:rPr>
      </w:pPr>
    </w:p>
    <w:p w:rsidR="00B320BE" w:rsidRDefault="00B320BE" w:rsidP="00B320BE">
      <w:pPr>
        <w:spacing w:line="360" w:lineRule="auto"/>
        <w:jc w:val="both"/>
        <w:rPr>
          <w:rFonts w:ascii="Times New Roman" w:hAnsi="Times New Roman" w:cs="Times New Roman"/>
          <w:color w:val="000000" w:themeColor="text1"/>
          <w:sz w:val="24"/>
          <w:szCs w:val="24"/>
        </w:rPr>
      </w:pPr>
    </w:p>
    <w:p w:rsidR="00B320BE" w:rsidRDefault="00B320BE" w:rsidP="00B320BE">
      <w:pPr>
        <w:spacing w:line="360" w:lineRule="auto"/>
        <w:jc w:val="both"/>
        <w:rPr>
          <w:rFonts w:ascii="Times New Roman" w:hAnsi="Times New Roman" w:cs="Times New Roman"/>
          <w:color w:val="000000" w:themeColor="text1"/>
          <w:sz w:val="24"/>
          <w:szCs w:val="24"/>
        </w:rPr>
      </w:pPr>
    </w:p>
    <w:p w:rsidR="00E03EC8" w:rsidRDefault="00E03EC8" w:rsidP="00B320BE">
      <w:pPr>
        <w:spacing w:line="360" w:lineRule="auto"/>
        <w:jc w:val="both"/>
        <w:rPr>
          <w:rFonts w:ascii="Times New Roman" w:hAnsi="Times New Roman" w:cs="Times New Roman"/>
          <w:color w:val="000000" w:themeColor="text1"/>
          <w:sz w:val="24"/>
          <w:szCs w:val="24"/>
        </w:rPr>
      </w:pPr>
    </w:p>
    <w:p w:rsidR="00E03EC8" w:rsidRDefault="00E03EC8" w:rsidP="00B320BE">
      <w:pPr>
        <w:spacing w:line="360" w:lineRule="auto"/>
        <w:jc w:val="both"/>
        <w:rPr>
          <w:rFonts w:ascii="Times New Roman" w:hAnsi="Times New Roman" w:cs="Times New Roman"/>
          <w:color w:val="000000" w:themeColor="text1"/>
          <w:sz w:val="24"/>
          <w:szCs w:val="24"/>
        </w:rPr>
      </w:pPr>
    </w:p>
    <w:p w:rsidR="00B320BE" w:rsidRPr="00B320BE" w:rsidRDefault="00B320BE" w:rsidP="00B320BE">
      <w:pPr>
        <w:spacing w:line="360" w:lineRule="auto"/>
        <w:jc w:val="both"/>
        <w:rPr>
          <w:rFonts w:ascii="Times New Roman" w:hAnsi="Times New Roman" w:cs="Times New Roman"/>
          <w:color w:val="000000" w:themeColor="text1"/>
          <w:sz w:val="24"/>
          <w:szCs w:val="24"/>
        </w:rPr>
      </w:pPr>
    </w:p>
    <w:p w:rsidR="005D47AE" w:rsidRPr="00B320BE" w:rsidRDefault="008B3FCF" w:rsidP="00B320BE">
      <w:pPr>
        <w:pStyle w:val="Heading1"/>
        <w:spacing w:line="360" w:lineRule="auto"/>
        <w:jc w:val="both"/>
        <w:rPr>
          <w:rFonts w:ascii="Times New Roman" w:hAnsi="Times New Roman" w:cs="Times New Roman"/>
          <w:b/>
          <w:color w:val="000000" w:themeColor="text1"/>
          <w:sz w:val="24"/>
          <w:szCs w:val="24"/>
        </w:rPr>
      </w:pPr>
      <w:bookmarkStart w:id="46" w:name="_Toc156676266"/>
      <w:bookmarkStart w:id="47" w:name="_Toc156845981"/>
      <w:r w:rsidRPr="00B320BE">
        <w:rPr>
          <w:rFonts w:ascii="Times New Roman" w:hAnsi="Times New Roman" w:cs="Times New Roman"/>
          <w:b/>
          <w:color w:val="000000" w:themeColor="text1"/>
          <w:sz w:val="24"/>
          <w:szCs w:val="24"/>
        </w:rPr>
        <w:lastRenderedPageBreak/>
        <w:t>Chapter: 2</w:t>
      </w:r>
      <w:bookmarkEnd w:id="46"/>
      <w:bookmarkEnd w:id="47"/>
    </w:p>
    <w:p w:rsidR="005D47AE" w:rsidRPr="00B320BE" w:rsidRDefault="005D47AE" w:rsidP="00B320BE">
      <w:pPr>
        <w:pStyle w:val="Heading1"/>
        <w:spacing w:line="360" w:lineRule="auto"/>
        <w:jc w:val="both"/>
        <w:rPr>
          <w:rFonts w:ascii="Times New Roman" w:hAnsi="Times New Roman" w:cs="Times New Roman"/>
          <w:b/>
          <w:color w:val="000000" w:themeColor="text1"/>
          <w:sz w:val="24"/>
          <w:szCs w:val="24"/>
        </w:rPr>
      </w:pPr>
      <w:bookmarkStart w:id="48" w:name="_Toc156676267"/>
      <w:bookmarkStart w:id="49" w:name="_Toc156845982"/>
      <w:r w:rsidRPr="00B320BE">
        <w:rPr>
          <w:rFonts w:ascii="Times New Roman" w:hAnsi="Times New Roman" w:cs="Times New Roman"/>
          <w:b/>
          <w:color w:val="000000" w:themeColor="text1"/>
          <w:sz w:val="24"/>
          <w:szCs w:val="24"/>
        </w:rPr>
        <w:t>Methodology</w:t>
      </w:r>
      <w:bookmarkEnd w:id="48"/>
      <w:bookmarkEnd w:id="49"/>
    </w:p>
    <w:p w:rsidR="00B614C9" w:rsidRPr="00B320BE" w:rsidRDefault="00B614C9" w:rsidP="00B320BE">
      <w:pPr>
        <w:spacing w:line="360" w:lineRule="auto"/>
        <w:jc w:val="both"/>
        <w:rPr>
          <w:rFonts w:ascii="Times New Roman" w:hAnsi="Times New Roman" w:cs="Times New Roman"/>
          <w:b/>
          <w:color w:val="000000" w:themeColor="text1"/>
          <w:sz w:val="24"/>
          <w:szCs w:val="24"/>
        </w:rPr>
      </w:pPr>
    </w:p>
    <w:p w:rsidR="005D47AE"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50" w:name="_Toc156676268"/>
      <w:bookmarkStart w:id="51" w:name="_Toc156845983"/>
      <w:r w:rsidRPr="00B320BE">
        <w:rPr>
          <w:rFonts w:ascii="Times New Roman" w:hAnsi="Times New Roman" w:cs="Times New Roman"/>
          <w:b/>
          <w:color w:val="000000" w:themeColor="text1"/>
          <w:sz w:val="24"/>
          <w:szCs w:val="24"/>
        </w:rPr>
        <w:t>Research Design</w:t>
      </w:r>
      <w:bookmarkEnd w:id="50"/>
      <w:bookmarkEnd w:id="51"/>
    </w:p>
    <w:p w:rsidR="004E22D1" w:rsidRPr="00B320BE" w:rsidRDefault="00CA45C0"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This study uses qualitative research methods concentrating on in-depth investigation rather than quantification. In a qualitative approach, the research seeks to describe in detail and comprehensively report phenomena on ESG integration by European companies. </w:t>
      </w:r>
      <w:r w:rsidR="00FD13C0" w:rsidRPr="00B320BE">
        <w:rPr>
          <w:rFonts w:ascii="Times New Roman" w:hAnsi="Times New Roman" w:cs="Times New Roman"/>
          <w:color w:val="000000" w:themeColor="text1"/>
          <w:sz w:val="24"/>
          <w:szCs w:val="24"/>
        </w:rPr>
        <w:t>Qualitative</w:t>
      </w:r>
      <w:r w:rsidRPr="00B320BE">
        <w:rPr>
          <w:rFonts w:ascii="Times New Roman" w:hAnsi="Times New Roman" w:cs="Times New Roman"/>
          <w:color w:val="000000" w:themeColor="text1"/>
          <w:sz w:val="24"/>
          <w:szCs w:val="24"/>
        </w:rPr>
        <w:t xml:space="preserve"> research is selected because it provides the contextualization and interpretation necessary to develop a clear picture of ESG behaviors, motivations, and outcomes</w:t>
      </w:r>
      <w:r w:rsidR="00E27D53" w:rsidRPr="00B320BE">
        <w:rPr>
          <w:rFonts w:ascii="Times New Roman" w:hAnsi="Times New Roman" w:cs="Times New Roman"/>
          <w:color w:val="000000" w:themeColor="text1"/>
          <w:sz w:val="24"/>
          <w:szCs w:val="24"/>
        </w:rPr>
        <w:t xml:space="preserve"> (Saunders, 2007).</w:t>
      </w:r>
      <w:r w:rsidRPr="00B320BE">
        <w:rPr>
          <w:rFonts w:ascii="Times New Roman" w:hAnsi="Times New Roman" w:cs="Times New Roman"/>
          <w:color w:val="000000" w:themeColor="text1"/>
          <w:sz w:val="24"/>
          <w:szCs w:val="24"/>
        </w:rPr>
        <w:t xml:space="preserve"> </w:t>
      </w:r>
    </w:p>
    <w:p w:rsidR="00B614C9" w:rsidRPr="00B320BE" w:rsidRDefault="00B614C9" w:rsidP="00B320BE">
      <w:pPr>
        <w:spacing w:line="360" w:lineRule="auto"/>
        <w:jc w:val="both"/>
        <w:rPr>
          <w:rFonts w:ascii="Times New Roman" w:hAnsi="Times New Roman" w:cs="Times New Roman"/>
          <w:color w:val="000000" w:themeColor="text1"/>
          <w:sz w:val="24"/>
          <w:szCs w:val="24"/>
        </w:rPr>
      </w:pPr>
    </w:p>
    <w:p w:rsidR="004E22D1" w:rsidRPr="00B320BE" w:rsidRDefault="00B320BE" w:rsidP="00B320BE">
      <w:pPr>
        <w:pStyle w:val="Heading2"/>
        <w:spacing w:line="360" w:lineRule="auto"/>
        <w:jc w:val="both"/>
        <w:rPr>
          <w:rFonts w:ascii="Times New Roman" w:hAnsi="Times New Roman" w:cs="Times New Roman"/>
          <w:b/>
          <w:color w:val="000000" w:themeColor="text1"/>
          <w:sz w:val="24"/>
          <w:szCs w:val="24"/>
        </w:rPr>
      </w:pPr>
      <w:bookmarkStart w:id="52" w:name="_Toc156676269"/>
      <w:bookmarkStart w:id="53" w:name="_Toc156845984"/>
      <w:r>
        <w:rPr>
          <w:rFonts w:ascii="Times New Roman" w:hAnsi="Times New Roman" w:cs="Times New Roman"/>
          <w:b/>
          <w:color w:val="000000" w:themeColor="text1"/>
          <w:sz w:val="24"/>
          <w:szCs w:val="24"/>
        </w:rPr>
        <w:t>The R</w:t>
      </w:r>
      <w:r w:rsidR="004E22D1" w:rsidRPr="00B320BE">
        <w:rPr>
          <w:rFonts w:ascii="Times New Roman" w:hAnsi="Times New Roman" w:cs="Times New Roman"/>
          <w:b/>
          <w:color w:val="000000" w:themeColor="text1"/>
          <w:sz w:val="24"/>
          <w:szCs w:val="24"/>
        </w:rPr>
        <w:t>ationale fo</w:t>
      </w:r>
      <w:r>
        <w:rPr>
          <w:rFonts w:ascii="Times New Roman" w:hAnsi="Times New Roman" w:cs="Times New Roman"/>
          <w:b/>
          <w:color w:val="000000" w:themeColor="text1"/>
          <w:sz w:val="24"/>
          <w:szCs w:val="24"/>
        </w:rPr>
        <w:t>r Selecting the Specific D</w:t>
      </w:r>
      <w:r w:rsidR="0020133B" w:rsidRPr="00B320BE">
        <w:rPr>
          <w:rFonts w:ascii="Times New Roman" w:hAnsi="Times New Roman" w:cs="Times New Roman"/>
          <w:b/>
          <w:color w:val="000000" w:themeColor="text1"/>
          <w:sz w:val="24"/>
          <w:szCs w:val="24"/>
        </w:rPr>
        <w:t>esign</w:t>
      </w:r>
      <w:bookmarkEnd w:id="52"/>
      <w:bookmarkEnd w:id="53"/>
    </w:p>
    <w:p w:rsidR="005D47AE" w:rsidRPr="00B320BE" w:rsidRDefault="00CA45C0"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Therefore, the qualitative approach is favored over a quantitative one as it underlies subjective </w:t>
      </w:r>
      <w:r w:rsidR="005E0E46" w:rsidRPr="00B320BE">
        <w:rPr>
          <w:rFonts w:ascii="Times New Roman" w:hAnsi="Times New Roman" w:cs="Times New Roman"/>
          <w:color w:val="000000" w:themeColor="text1"/>
          <w:sz w:val="24"/>
          <w:szCs w:val="24"/>
        </w:rPr>
        <w:t>concepts</w:t>
      </w:r>
      <w:r w:rsidRPr="00B320BE">
        <w:rPr>
          <w:rFonts w:ascii="Times New Roman" w:hAnsi="Times New Roman" w:cs="Times New Roman"/>
          <w:color w:val="000000" w:themeColor="text1"/>
          <w:sz w:val="24"/>
          <w:szCs w:val="24"/>
        </w:rPr>
        <w:t xml:space="preserve"> and </w:t>
      </w:r>
      <w:r w:rsidR="005E0E46"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need for </w:t>
      </w:r>
      <w:r w:rsidR="005E0E46"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 xml:space="preserve">complex understanding of ESG practices. Unlike quantitative research focused on counting and measuring, qualitative analysis is characterized by detailed descriptions </w:t>
      </w:r>
      <w:r w:rsidR="005E0E46" w:rsidRPr="00B320BE">
        <w:rPr>
          <w:rFonts w:ascii="Times New Roman" w:hAnsi="Times New Roman" w:cs="Times New Roman"/>
          <w:color w:val="000000" w:themeColor="text1"/>
          <w:sz w:val="24"/>
          <w:szCs w:val="24"/>
        </w:rPr>
        <w:t>that</w:t>
      </w:r>
      <w:r w:rsidRPr="00B320BE">
        <w:rPr>
          <w:rFonts w:ascii="Times New Roman" w:hAnsi="Times New Roman" w:cs="Times New Roman"/>
          <w:color w:val="000000" w:themeColor="text1"/>
          <w:sz w:val="24"/>
          <w:szCs w:val="24"/>
        </w:rPr>
        <w:t xml:space="preserve"> are in line with the explorative nature of </w:t>
      </w:r>
      <w:r w:rsidR="005E0E46" w:rsidRPr="00B320BE">
        <w:rPr>
          <w:rFonts w:ascii="Times New Roman" w:hAnsi="Times New Roman" w:cs="Times New Roman"/>
          <w:color w:val="000000" w:themeColor="text1"/>
          <w:sz w:val="24"/>
          <w:szCs w:val="24"/>
        </w:rPr>
        <w:t>ESG's</w:t>
      </w:r>
      <w:r w:rsidRPr="00B320BE">
        <w:rPr>
          <w:rFonts w:ascii="Times New Roman" w:hAnsi="Times New Roman" w:cs="Times New Roman"/>
          <w:color w:val="000000" w:themeColor="text1"/>
          <w:sz w:val="24"/>
          <w:szCs w:val="24"/>
        </w:rPr>
        <w:t xml:space="preserve"> impact on financial investments </w:t>
      </w:r>
      <w:r w:rsidR="004E22D1" w:rsidRPr="00B320BE">
        <w:rPr>
          <w:rFonts w:ascii="Times New Roman" w:hAnsi="Times New Roman" w:cs="Times New Roman"/>
          <w:color w:val="000000" w:themeColor="text1"/>
          <w:sz w:val="24"/>
          <w:szCs w:val="24"/>
        </w:rPr>
        <w:t>(Macdonald et al., 2008).</w:t>
      </w:r>
    </w:p>
    <w:p w:rsidR="004E22D1" w:rsidRPr="00B320BE" w:rsidRDefault="004E22D1" w:rsidP="00B320BE">
      <w:pPr>
        <w:spacing w:line="360" w:lineRule="auto"/>
        <w:jc w:val="both"/>
        <w:rPr>
          <w:rFonts w:ascii="Times New Roman" w:hAnsi="Times New Roman" w:cs="Times New Roman"/>
          <w:b/>
          <w:color w:val="000000" w:themeColor="text1"/>
          <w:sz w:val="24"/>
          <w:szCs w:val="24"/>
        </w:rPr>
      </w:pPr>
    </w:p>
    <w:p w:rsidR="005D47AE"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54" w:name="_Toc156676270"/>
      <w:bookmarkStart w:id="55" w:name="_Toc156845985"/>
      <w:r w:rsidRPr="00B320BE">
        <w:rPr>
          <w:rFonts w:ascii="Times New Roman" w:hAnsi="Times New Roman" w:cs="Times New Roman"/>
          <w:b/>
          <w:color w:val="000000" w:themeColor="text1"/>
          <w:sz w:val="24"/>
          <w:szCs w:val="24"/>
        </w:rPr>
        <w:t>Data Collection</w:t>
      </w:r>
      <w:bookmarkEnd w:id="54"/>
      <w:bookmarkEnd w:id="55"/>
    </w:p>
    <w:p w:rsidR="005D47AE" w:rsidRPr="00B320BE" w:rsidRDefault="005D47AE" w:rsidP="00B320BE">
      <w:pPr>
        <w:pStyle w:val="Heading3"/>
        <w:spacing w:line="360" w:lineRule="auto"/>
        <w:jc w:val="both"/>
        <w:rPr>
          <w:rFonts w:ascii="Times New Roman" w:hAnsi="Times New Roman" w:cs="Times New Roman"/>
          <w:b/>
          <w:color w:val="000000" w:themeColor="text1"/>
        </w:rPr>
      </w:pPr>
      <w:bookmarkStart w:id="56" w:name="_Toc156676271"/>
      <w:bookmarkStart w:id="57" w:name="_Toc156845986"/>
      <w:r w:rsidRPr="00B320BE">
        <w:rPr>
          <w:rFonts w:ascii="Times New Roman" w:hAnsi="Times New Roman" w:cs="Times New Roman"/>
          <w:b/>
          <w:color w:val="000000" w:themeColor="text1"/>
        </w:rPr>
        <w:t>Secondary Data So</w:t>
      </w:r>
      <w:r w:rsidR="0020133B" w:rsidRPr="00B320BE">
        <w:rPr>
          <w:rFonts w:ascii="Times New Roman" w:hAnsi="Times New Roman" w:cs="Times New Roman"/>
          <w:b/>
          <w:color w:val="000000" w:themeColor="text1"/>
        </w:rPr>
        <w:t>urces</w:t>
      </w:r>
      <w:bookmarkEnd w:id="56"/>
      <w:bookmarkEnd w:id="57"/>
    </w:p>
    <w:p w:rsidR="005D47AE" w:rsidRPr="00B320BE" w:rsidRDefault="0036172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study applies secondary data sources. The secondary data is from the STOXX® Europe ESG Leaders 50 indexes databases and ESG reports already published. Such sources support the foundation of ESG metrics and financial performance statistics.</w:t>
      </w:r>
      <w:r w:rsidR="00CA45C0" w:rsidRPr="00B320BE">
        <w:rPr>
          <w:rFonts w:ascii="Times New Roman" w:hAnsi="Times New Roman" w:cs="Times New Roman"/>
          <w:color w:val="000000" w:themeColor="text1"/>
          <w:sz w:val="24"/>
          <w:szCs w:val="24"/>
        </w:rPr>
        <w:t xml:space="preserve"> </w:t>
      </w:r>
      <w:r w:rsidR="00A12AD5" w:rsidRPr="00A12AD5">
        <w:rPr>
          <w:rFonts w:ascii="Times New Roman" w:hAnsi="Times New Roman" w:cs="Times New Roman"/>
          <w:color w:val="000000" w:themeColor="text1"/>
          <w:sz w:val="24"/>
          <w:szCs w:val="24"/>
        </w:rPr>
        <w:t>Data is also collected through a literature review and case studies. The literature review is an effective way of dealing with the entire body of knowledge related to ESG performance, a risk and investment strategy because it tackles all aspects in-depth while case studies are aimed at answering particular questions on speci</w:t>
      </w:r>
      <w:r w:rsidR="00A12AD5">
        <w:rPr>
          <w:rFonts w:ascii="Times New Roman" w:hAnsi="Times New Roman" w:cs="Times New Roman"/>
          <w:color w:val="000000" w:themeColor="text1"/>
          <w:sz w:val="24"/>
          <w:szCs w:val="24"/>
        </w:rPr>
        <w:t xml:space="preserve">fic cases involving these facts </w:t>
      </w:r>
      <w:r w:rsidR="00E57CC8" w:rsidRPr="00B320BE">
        <w:rPr>
          <w:rFonts w:ascii="Times New Roman" w:hAnsi="Times New Roman" w:cs="Times New Roman"/>
          <w:color w:val="000000" w:themeColor="text1"/>
          <w:sz w:val="24"/>
          <w:szCs w:val="24"/>
        </w:rPr>
        <w:t>(Collis and Hussey, 2014)</w:t>
      </w:r>
      <w:r w:rsidR="005D47AE" w:rsidRPr="00B320BE">
        <w:rPr>
          <w:rFonts w:ascii="Times New Roman" w:hAnsi="Times New Roman" w:cs="Times New Roman"/>
          <w:color w:val="000000" w:themeColor="text1"/>
          <w:sz w:val="24"/>
          <w:szCs w:val="24"/>
        </w:rPr>
        <w:t>.</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5D47AE" w:rsidRPr="00B320BE" w:rsidRDefault="005D47AE" w:rsidP="00B320BE">
      <w:pPr>
        <w:pStyle w:val="Heading3"/>
        <w:spacing w:line="360" w:lineRule="auto"/>
        <w:jc w:val="both"/>
        <w:rPr>
          <w:rFonts w:ascii="Times New Roman" w:hAnsi="Times New Roman" w:cs="Times New Roman"/>
          <w:b/>
          <w:color w:val="000000" w:themeColor="text1"/>
        </w:rPr>
      </w:pPr>
      <w:bookmarkStart w:id="58" w:name="_Toc156676272"/>
      <w:bookmarkStart w:id="59" w:name="_Toc156845987"/>
      <w:r w:rsidRPr="00B320BE">
        <w:rPr>
          <w:rFonts w:ascii="Times New Roman" w:hAnsi="Times New Roman" w:cs="Times New Roman"/>
          <w:b/>
          <w:color w:val="000000" w:themeColor="text1"/>
        </w:rPr>
        <w:lastRenderedPageBreak/>
        <w:t>Crit</w:t>
      </w:r>
      <w:r w:rsidR="0020133B" w:rsidRPr="00B320BE">
        <w:rPr>
          <w:rFonts w:ascii="Times New Roman" w:hAnsi="Times New Roman" w:cs="Times New Roman"/>
          <w:b/>
          <w:color w:val="000000" w:themeColor="text1"/>
        </w:rPr>
        <w:t>eria for Selecting Data Sources</w:t>
      </w:r>
      <w:bookmarkEnd w:id="58"/>
      <w:bookmarkEnd w:id="59"/>
    </w:p>
    <w:p w:rsidR="005D47AE" w:rsidRPr="00B320BE" w:rsidRDefault="00A12AD5" w:rsidP="00A12AD5">
      <w:pPr>
        <w:spacing w:line="360" w:lineRule="auto"/>
        <w:jc w:val="both"/>
        <w:rPr>
          <w:rFonts w:ascii="Times New Roman" w:hAnsi="Times New Roman" w:cs="Times New Roman"/>
          <w:color w:val="000000" w:themeColor="text1"/>
          <w:sz w:val="24"/>
          <w:szCs w:val="24"/>
        </w:rPr>
      </w:pPr>
      <w:r w:rsidRPr="00A12AD5">
        <w:rPr>
          <w:rFonts w:ascii="Times New Roman" w:hAnsi="Times New Roman" w:cs="Times New Roman"/>
          <w:color w:val="000000" w:themeColor="text1"/>
          <w:sz w:val="24"/>
          <w:szCs w:val="24"/>
        </w:rPr>
        <w:t>Data source selection is based on relevance and reliability. Therefore, The ESG reports and the STOXX® Europe ESG Leaders 50 indexes database is chosen for their broadness concerning ESG metrics because they created an industry standard. The rationale for selecting literature reviews and case studies is that they provide alternative perspective on interpreting the interaction between ESG performance measures as well as financial investm</w:t>
      </w:r>
      <w:r>
        <w:rPr>
          <w:rFonts w:ascii="Times New Roman" w:hAnsi="Times New Roman" w:cs="Times New Roman"/>
          <w:color w:val="000000" w:themeColor="text1"/>
          <w:sz w:val="24"/>
          <w:szCs w:val="24"/>
        </w:rPr>
        <w:t xml:space="preserve">ents </w:t>
      </w:r>
      <w:r w:rsidR="00E57CC8" w:rsidRPr="00B320BE">
        <w:rPr>
          <w:rFonts w:ascii="Times New Roman" w:hAnsi="Times New Roman" w:cs="Times New Roman"/>
          <w:color w:val="000000" w:themeColor="text1"/>
          <w:sz w:val="24"/>
          <w:szCs w:val="24"/>
        </w:rPr>
        <w:t>(Sospeter, 2020)</w:t>
      </w:r>
      <w:r w:rsidR="005D47AE" w:rsidRPr="00B320BE">
        <w:rPr>
          <w:rFonts w:ascii="Times New Roman" w:hAnsi="Times New Roman" w:cs="Times New Roman"/>
          <w:color w:val="000000" w:themeColor="text1"/>
          <w:sz w:val="24"/>
          <w:szCs w:val="24"/>
        </w:rPr>
        <w:t>.</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5D47AE"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60" w:name="_Toc156676273"/>
      <w:bookmarkStart w:id="61" w:name="_Toc156845988"/>
      <w:r w:rsidRPr="00B320BE">
        <w:rPr>
          <w:rFonts w:ascii="Times New Roman" w:hAnsi="Times New Roman" w:cs="Times New Roman"/>
          <w:b/>
          <w:color w:val="000000" w:themeColor="text1"/>
          <w:sz w:val="24"/>
          <w:szCs w:val="24"/>
        </w:rPr>
        <w:t>Data Collection Methods</w:t>
      </w:r>
      <w:bookmarkEnd w:id="60"/>
      <w:bookmarkEnd w:id="61"/>
    </w:p>
    <w:p w:rsidR="00CA45C0" w:rsidRDefault="00A12AD5" w:rsidP="00B320BE">
      <w:pPr>
        <w:spacing w:line="360" w:lineRule="auto"/>
        <w:jc w:val="both"/>
        <w:rPr>
          <w:rFonts w:ascii="Times New Roman" w:hAnsi="Times New Roman" w:cs="Times New Roman"/>
          <w:color w:val="000000" w:themeColor="text1"/>
          <w:sz w:val="24"/>
          <w:szCs w:val="24"/>
        </w:rPr>
      </w:pPr>
      <w:r w:rsidRPr="00A12AD5">
        <w:rPr>
          <w:rFonts w:ascii="Times New Roman" w:hAnsi="Times New Roman" w:cs="Times New Roman"/>
          <w:color w:val="000000" w:themeColor="text1"/>
          <w:sz w:val="24"/>
          <w:szCs w:val="24"/>
        </w:rPr>
        <w:t>The study utilizes a literature review and case studies as the secondary methods for data collection:</w:t>
      </w:r>
    </w:p>
    <w:p w:rsidR="00A12AD5" w:rsidRPr="00B320BE" w:rsidRDefault="00A12AD5" w:rsidP="00B320BE">
      <w:pPr>
        <w:spacing w:line="360" w:lineRule="auto"/>
        <w:jc w:val="both"/>
        <w:rPr>
          <w:rFonts w:ascii="Times New Roman" w:hAnsi="Times New Roman" w:cs="Times New Roman"/>
          <w:color w:val="000000" w:themeColor="text1"/>
          <w:sz w:val="24"/>
          <w:szCs w:val="24"/>
        </w:rPr>
      </w:pPr>
    </w:p>
    <w:p w:rsidR="00CA45C0" w:rsidRPr="00B320BE" w:rsidRDefault="0020133B" w:rsidP="00B320BE">
      <w:pPr>
        <w:pStyle w:val="Heading3"/>
        <w:spacing w:line="360" w:lineRule="auto"/>
        <w:jc w:val="both"/>
        <w:rPr>
          <w:rFonts w:ascii="Times New Roman" w:hAnsi="Times New Roman" w:cs="Times New Roman"/>
          <w:b/>
          <w:color w:val="000000" w:themeColor="text1"/>
        </w:rPr>
      </w:pPr>
      <w:bookmarkStart w:id="62" w:name="_Toc156676274"/>
      <w:bookmarkStart w:id="63" w:name="_Toc156845989"/>
      <w:r w:rsidRPr="00B320BE">
        <w:rPr>
          <w:rFonts w:ascii="Times New Roman" w:hAnsi="Times New Roman" w:cs="Times New Roman"/>
          <w:b/>
          <w:color w:val="000000" w:themeColor="text1"/>
        </w:rPr>
        <w:t>Literature Review</w:t>
      </w:r>
      <w:bookmarkEnd w:id="62"/>
      <w:bookmarkEnd w:id="63"/>
    </w:p>
    <w:p w:rsidR="005D47AE" w:rsidRPr="00B320BE" w:rsidRDefault="00A12AD5" w:rsidP="00B320BE">
      <w:pPr>
        <w:spacing w:line="360" w:lineRule="auto"/>
        <w:jc w:val="both"/>
        <w:rPr>
          <w:rFonts w:ascii="Times New Roman" w:hAnsi="Times New Roman" w:cs="Times New Roman"/>
          <w:color w:val="000000" w:themeColor="text1"/>
          <w:sz w:val="24"/>
          <w:szCs w:val="24"/>
        </w:rPr>
      </w:pPr>
      <w:r w:rsidRPr="00A12AD5">
        <w:rPr>
          <w:rFonts w:ascii="Times New Roman" w:hAnsi="Times New Roman" w:cs="Times New Roman"/>
          <w:color w:val="000000" w:themeColor="text1"/>
          <w:sz w:val="24"/>
          <w:szCs w:val="24"/>
        </w:rPr>
        <w:t>A systematic data collection allows us to synthesize the results of research in earlier studies about ESG, financial investments and budgets. This methodology ensures an exhaustive review of all past empirical findings with the possibility to construct a powerful theoretical model and highlight areas tha</w:t>
      </w:r>
      <w:r>
        <w:rPr>
          <w:rFonts w:ascii="Times New Roman" w:hAnsi="Times New Roman" w:cs="Times New Roman"/>
          <w:color w:val="000000" w:themeColor="text1"/>
          <w:sz w:val="24"/>
          <w:szCs w:val="24"/>
        </w:rPr>
        <w:t xml:space="preserve">t require further investigation </w:t>
      </w:r>
      <w:r w:rsidR="005D47AE" w:rsidRPr="00B320BE">
        <w:rPr>
          <w:rFonts w:ascii="Times New Roman" w:hAnsi="Times New Roman" w:cs="Times New Roman"/>
          <w:color w:val="000000" w:themeColor="text1"/>
          <w:sz w:val="24"/>
          <w:szCs w:val="24"/>
        </w:rPr>
        <w:t>(Tranfield, Denyer, &amp; Smart, 2003).</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5D47AE" w:rsidRPr="00B320BE" w:rsidRDefault="0020133B" w:rsidP="00B320BE">
      <w:pPr>
        <w:pStyle w:val="Heading3"/>
        <w:spacing w:line="360" w:lineRule="auto"/>
        <w:jc w:val="both"/>
        <w:rPr>
          <w:rFonts w:ascii="Times New Roman" w:hAnsi="Times New Roman" w:cs="Times New Roman"/>
          <w:b/>
          <w:color w:val="000000" w:themeColor="text1"/>
        </w:rPr>
      </w:pPr>
      <w:bookmarkStart w:id="64" w:name="_Toc156676275"/>
      <w:bookmarkStart w:id="65" w:name="_Toc156845990"/>
      <w:r w:rsidRPr="00B320BE">
        <w:rPr>
          <w:rFonts w:ascii="Times New Roman" w:hAnsi="Times New Roman" w:cs="Times New Roman"/>
          <w:b/>
          <w:color w:val="000000" w:themeColor="text1"/>
        </w:rPr>
        <w:t>Case Studies</w:t>
      </w:r>
      <w:bookmarkEnd w:id="64"/>
      <w:bookmarkEnd w:id="65"/>
    </w:p>
    <w:p w:rsidR="005D47AE" w:rsidRPr="00B320BE" w:rsidRDefault="00CA45C0"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 the case study method is selected to develop a detailed understanding of present-day phenomena linked with ESG indicators and financial investments. The chosen cases encompass different features including ESG performance, risk-related investments related to ESG</w:t>
      </w:r>
      <w:r w:rsidR="005E0E46"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investment strategies. This method is consistent with the conceptualization of the research question, which aims at understanding how ESG factors influence financial investments </w:t>
      </w:r>
      <w:r w:rsidR="005D47AE" w:rsidRPr="00B320BE">
        <w:rPr>
          <w:rFonts w:ascii="Times New Roman" w:hAnsi="Times New Roman" w:cs="Times New Roman"/>
          <w:color w:val="000000" w:themeColor="text1"/>
          <w:sz w:val="24"/>
          <w:szCs w:val="24"/>
        </w:rPr>
        <w:t>(</w:t>
      </w:r>
      <w:r w:rsidR="00E57CC8" w:rsidRPr="00B320BE">
        <w:rPr>
          <w:rFonts w:ascii="Times New Roman" w:hAnsi="Times New Roman" w:cs="Times New Roman"/>
          <w:color w:val="000000" w:themeColor="text1"/>
          <w:sz w:val="24"/>
          <w:szCs w:val="24"/>
        </w:rPr>
        <w:t>Aberdeen, 2009</w:t>
      </w:r>
      <w:r w:rsidR="005D47AE" w:rsidRPr="00B320BE">
        <w:rPr>
          <w:rFonts w:ascii="Times New Roman" w:hAnsi="Times New Roman" w:cs="Times New Roman"/>
          <w:color w:val="000000" w:themeColor="text1"/>
          <w:sz w:val="24"/>
          <w:szCs w:val="24"/>
        </w:rPr>
        <w:t>).</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5D47AE"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66" w:name="_Toc156676276"/>
      <w:bookmarkStart w:id="67" w:name="_Toc156845991"/>
      <w:r w:rsidRPr="00B320BE">
        <w:rPr>
          <w:rFonts w:ascii="Times New Roman" w:hAnsi="Times New Roman" w:cs="Times New Roman"/>
          <w:b/>
          <w:color w:val="000000" w:themeColor="text1"/>
          <w:sz w:val="24"/>
          <w:szCs w:val="24"/>
        </w:rPr>
        <w:t>Sample Selection</w:t>
      </w:r>
      <w:bookmarkEnd w:id="66"/>
      <w:bookmarkEnd w:id="67"/>
    </w:p>
    <w:p w:rsidR="005D47AE" w:rsidRPr="00B320BE" w:rsidRDefault="0020133B" w:rsidP="00B320BE">
      <w:pPr>
        <w:pStyle w:val="Heading3"/>
        <w:spacing w:line="360" w:lineRule="auto"/>
        <w:jc w:val="both"/>
        <w:rPr>
          <w:rFonts w:ascii="Times New Roman" w:hAnsi="Times New Roman" w:cs="Times New Roman"/>
          <w:b/>
          <w:color w:val="000000" w:themeColor="text1"/>
        </w:rPr>
      </w:pPr>
      <w:bookmarkStart w:id="68" w:name="_Toc156676277"/>
      <w:bookmarkStart w:id="69" w:name="_Toc156845992"/>
      <w:r w:rsidRPr="00B320BE">
        <w:rPr>
          <w:rFonts w:ascii="Times New Roman" w:hAnsi="Times New Roman" w:cs="Times New Roman"/>
          <w:b/>
          <w:color w:val="000000" w:themeColor="text1"/>
        </w:rPr>
        <w:t>Target Population</w:t>
      </w:r>
      <w:bookmarkEnd w:id="68"/>
      <w:bookmarkEnd w:id="69"/>
    </w:p>
    <w:p w:rsidR="004E22D1" w:rsidRPr="00B320BE" w:rsidRDefault="00542641"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target population that is described with meticulous precision for this research paper includes corporations in the financial, insurance</w:t>
      </w:r>
      <w:r w:rsidR="005E0E46"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banking sectors dealing in European countries. This </w:t>
      </w:r>
      <w:r w:rsidRPr="00B320BE">
        <w:rPr>
          <w:rFonts w:ascii="Times New Roman" w:hAnsi="Times New Roman" w:cs="Times New Roman"/>
          <w:color w:val="000000" w:themeColor="text1"/>
          <w:sz w:val="24"/>
          <w:szCs w:val="24"/>
        </w:rPr>
        <w:lastRenderedPageBreak/>
        <w:t xml:space="preserve">focus on these sectors is supported by the fact that ESG ratings and sustainability stances in European nations are highlighted, which remains an appropriate target for understanding their part of the financial market. This subtle demarcation of the target population paves </w:t>
      </w:r>
      <w:r w:rsidR="005E0E46"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way for an in-depth analysis of ESG practices across industrial sectors</w:t>
      </w:r>
      <w:r w:rsidR="00CA45C0" w:rsidRPr="00B320BE">
        <w:rPr>
          <w:rFonts w:ascii="Times New Roman" w:hAnsi="Times New Roman" w:cs="Times New Roman"/>
          <w:color w:val="000000" w:themeColor="text1"/>
          <w:sz w:val="24"/>
          <w:szCs w:val="24"/>
        </w:rPr>
        <w:t>.</w:t>
      </w:r>
    </w:p>
    <w:p w:rsidR="00542641" w:rsidRPr="00B320BE" w:rsidRDefault="00542641" w:rsidP="00B320BE">
      <w:pPr>
        <w:spacing w:line="360" w:lineRule="auto"/>
        <w:jc w:val="both"/>
        <w:rPr>
          <w:rFonts w:ascii="Times New Roman" w:hAnsi="Times New Roman" w:cs="Times New Roman"/>
          <w:color w:val="000000" w:themeColor="text1"/>
          <w:sz w:val="24"/>
          <w:szCs w:val="24"/>
        </w:rPr>
      </w:pPr>
    </w:p>
    <w:p w:rsidR="004E22D1" w:rsidRPr="00B320BE" w:rsidRDefault="0020133B" w:rsidP="00B320BE">
      <w:pPr>
        <w:pStyle w:val="Heading3"/>
        <w:spacing w:line="360" w:lineRule="auto"/>
        <w:jc w:val="both"/>
        <w:rPr>
          <w:rFonts w:ascii="Times New Roman" w:hAnsi="Times New Roman" w:cs="Times New Roman"/>
          <w:b/>
          <w:color w:val="000000" w:themeColor="text1"/>
        </w:rPr>
      </w:pPr>
      <w:bookmarkStart w:id="70" w:name="_Toc156676278"/>
      <w:bookmarkStart w:id="71" w:name="_Toc156845993"/>
      <w:r w:rsidRPr="00B320BE">
        <w:rPr>
          <w:rFonts w:ascii="Times New Roman" w:hAnsi="Times New Roman" w:cs="Times New Roman"/>
          <w:b/>
          <w:color w:val="000000" w:themeColor="text1"/>
        </w:rPr>
        <w:t>Sampling Strategy</w:t>
      </w:r>
      <w:bookmarkEnd w:id="70"/>
      <w:bookmarkEnd w:id="71"/>
    </w:p>
    <w:p w:rsidR="005D47AE" w:rsidRPr="00B320BE" w:rsidRDefault="00542641"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It is driven by practicality, which bounds to </w:t>
      </w:r>
      <w:r w:rsidR="005E0E46"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study’s reach and limits for convenience sampling that was designed intentionally. This approach offers a realistic and practical choice of companies given the peculiarities that characterize these three sectors, </w:t>
      </w:r>
      <w:r w:rsidR="005E0E46"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financial services industry, </w:t>
      </w:r>
      <w:r w:rsidR="005E0E46"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insurance sector</w:t>
      </w:r>
      <w:r w:rsidR="005E0E46"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w:t>
      </w:r>
      <w:r w:rsidR="005E0E46" w:rsidRPr="00B320BE">
        <w:rPr>
          <w:rFonts w:ascii="Times New Roman" w:hAnsi="Times New Roman" w:cs="Times New Roman"/>
          <w:color w:val="000000" w:themeColor="text1"/>
          <w:sz w:val="24"/>
          <w:szCs w:val="24"/>
        </w:rPr>
        <w:t>and</w:t>
      </w:r>
      <w:r w:rsidRPr="00B320BE">
        <w:rPr>
          <w:rFonts w:ascii="Times New Roman" w:hAnsi="Times New Roman" w:cs="Times New Roman"/>
          <w:color w:val="000000" w:themeColor="text1"/>
          <w:sz w:val="24"/>
          <w:szCs w:val="24"/>
        </w:rPr>
        <w:t xml:space="preserve"> well banking field. The study makes use of convenience sampling to involve only those companies that are amongst the top 10 on ESG criterion components. This strategic approach makes it possible for a heterogeneous representation </w:t>
      </w:r>
      <w:r w:rsidR="005E0E46" w:rsidRPr="00B320BE">
        <w:rPr>
          <w:rFonts w:ascii="Times New Roman" w:hAnsi="Times New Roman" w:cs="Times New Roman"/>
          <w:color w:val="000000" w:themeColor="text1"/>
          <w:sz w:val="24"/>
          <w:szCs w:val="24"/>
        </w:rPr>
        <w:t>of</w:t>
      </w:r>
      <w:r w:rsidRPr="00B320BE">
        <w:rPr>
          <w:rFonts w:ascii="Times New Roman" w:hAnsi="Times New Roman" w:cs="Times New Roman"/>
          <w:color w:val="000000" w:themeColor="text1"/>
          <w:sz w:val="24"/>
          <w:szCs w:val="24"/>
        </w:rPr>
        <w:t xml:space="preserve"> the industries within these sectors, providing to enrich the data of this study</w:t>
      </w:r>
      <w:r w:rsidR="00E57CC8" w:rsidRPr="00B320BE">
        <w:rPr>
          <w:rFonts w:ascii="Times New Roman" w:hAnsi="Times New Roman" w:cs="Times New Roman"/>
          <w:color w:val="000000" w:themeColor="text1"/>
          <w:sz w:val="24"/>
          <w:szCs w:val="24"/>
        </w:rPr>
        <w:t xml:space="preserve"> (Rao, 2020)</w:t>
      </w:r>
      <w:r w:rsidRPr="00B320BE">
        <w:rPr>
          <w:rFonts w:ascii="Times New Roman" w:hAnsi="Times New Roman" w:cs="Times New Roman"/>
          <w:color w:val="000000" w:themeColor="text1"/>
          <w:sz w:val="24"/>
          <w:szCs w:val="24"/>
        </w:rPr>
        <w:t>.</w:t>
      </w:r>
    </w:p>
    <w:p w:rsidR="00542641" w:rsidRPr="00B320BE" w:rsidRDefault="00542641" w:rsidP="00B320BE">
      <w:pPr>
        <w:spacing w:line="360" w:lineRule="auto"/>
        <w:jc w:val="both"/>
        <w:rPr>
          <w:rFonts w:ascii="Times New Roman" w:hAnsi="Times New Roman" w:cs="Times New Roman"/>
          <w:color w:val="000000" w:themeColor="text1"/>
          <w:sz w:val="24"/>
          <w:szCs w:val="24"/>
        </w:rPr>
      </w:pPr>
    </w:p>
    <w:p w:rsidR="005D47AE" w:rsidRPr="00B320BE" w:rsidRDefault="005D47AE" w:rsidP="00B320BE">
      <w:pPr>
        <w:pStyle w:val="Heading2"/>
        <w:spacing w:line="360" w:lineRule="auto"/>
        <w:jc w:val="both"/>
        <w:rPr>
          <w:rFonts w:ascii="Times New Roman" w:hAnsi="Times New Roman" w:cs="Times New Roman"/>
          <w:b/>
          <w:color w:val="000000" w:themeColor="text1"/>
          <w:sz w:val="24"/>
          <w:szCs w:val="24"/>
        </w:rPr>
      </w:pPr>
      <w:bookmarkStart w:id="72" w:name="_Toc156676279"/>
      <w:bookmarkStart w:id="73" w:name="_Toc156845994"/>
      <w:r w:rsidRPr="00B320BE">
        <w:rPr>
          <w:rFonts w:ascii="Times New Roman" w:hAnsi="Times New Roman" w:cs="Times New Roman"/>
          <w:b/>
          <w:color w:val="000000" w:themeColor="text1"/>
          <w:sz w:val="24"/>
          <w:szCs w:val="24"/>
        </w:rPr>
        <w:t>Crite</w:t>
      </w:r>
      <w:r w:rsidR="0020133B" w:rsidRPr="00B320BE">
        <w:rPr>
          <w:rFonts w:ascii="Times New Roman" w:hAnsi="Times New Roman" w:cs="Times New Roman"/>
          <w:b/>
          <w:color w:val="000000" w:themeColor="text1"/>
          <w:sz w:val="24"/>
          <w:szCs w:val="24"/>
        </w:rPr>
        <w:t>ria for Inclusion and Exclusion</w:t>
      </w:r>
      <w:bookmarkEnd w:id="72"/>
      <w:bookmarkEnd w:id="73"/>
    </w:p>
    <w:p w:rsidR="005D47AE" w:rsidRPr="00B320BE" w:rsidRDefault="00542641"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inclusion criteria include companies in the top 10 ESG criterion components for a representative sample with good performance on such issues. There is no mention of exclusion criteria but these are companies that do not meet the inclusion criteria</w:t>
      </w:r>
      <w:r w:rsidR="005D47AE" w:rsidRPr="00B320BE">
        <w:rPr>
          <w:rFonts w:ascii="Times New Roman" w:hAnsi="Times New Roman" w:cs="Times New Roman"/>
          <w:color w:val="000000" w:themeColor="text1"/>
          <w:sz w:val="24"/>
          <w:szCs w:val="24"/>
        </w:rPr>
        <w:t>.</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5D47AE"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74" w:name="_Toc156676280"/>
      <w:bookmarkStart w:id="75" w:name="_Toc156845995"/>
      <w:r w:rsidRPr="00B320BE">
        <w:rPr>
          <w:rFonts w:ascii="Times New Roman" w:hAnsi="Times New Roman" w:cs="Times New Roman"/>
          <w:b/>
          <w:color w:val="000000" w:themeColor="text1"/>
          <w:sz w:val="24"/>
          <w:szCs w:val="24"/>
        </w:rPr>
        <w:t>Variables and Measures</w:t>
      </w:r>
      <w:bookmarkEnd w:id="74"/>
      <w:bookmarkEnd w:id="75"/>
    </w:p>
    <w:p w:rsidR="004E22D1" w:rsidRPr="00B320BE" w:rsidRDefault="0020133B" w:rsidP="00B320BE">
      <w:pPr>
        <w:pStyle w:val="Heading3"/>
        <w:spacing w:line="360" w:lineRule="auto"/>
        <w:jc w:val="both"/>
        <w:rPr>
          <w:rFonts w:ascii="Times New Roman" w:hAnsi="Times New Roman" w:cs="Times New Roman"/>
          <w:b/>
          <w:color w:val="000000" w:themeColor="text1"/>
        </w:rPr>
      </w:pPr>
      <w:bookmarkStart w:id="76" w:name="_Toc156676281"/>
      <w:bookmarkStart w:id="77" w:name="_Toc156845996"/>
      <w:r w:rsidRPr="00B320BE">
        <w:rPr>
          <w:rFonts w:ascii="Times New Roman" w:hAnsi="Times New Roman" w:cs="Times New Roman"/>
          <w:b/>
          <w:color w:val="000000" w:themeColor="text1"/>
        </w:rPr>
        <w:t>Identification and O</w:t>
      </w:r>
      <w:r w:rsidR="004E22D1" w:rsidRPr="00B320BE">
        <w:rPr>
          <w:rFonts w:ascii="Times New Roman" w:hAnsi="Times New Roman" w:cs="Times New Roman"/>
          <w:b/>
          <w:color w:val="000000" w:themeColor="text1"/>
        </w:rPr>
        <w:t>per</w:t>
      </w:r>
      <w:r w:rsidRPr="00B320BE">
        <w:rPr>
          <w:rFonts w:ascii="Times New Roman" w:hAnsi="Times New Roman" w:cs="Times New Roman"/>
          <w:b/>
          <w:color w:val="000000" w:themeColor="text1"/>
        </w:rPr>
        <w:t>ationalization of Key Variables</w:t>
      </w:r>
      <w:bookmarkEnd w:id="76"/>
      <w:bookmarkEnd w:id="77"/>
    </w:p>
    <w:p w:rsidR="004E22D1" w:rsidRPr="00B320BE" w:rsidRDefault="000C52B7"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robustness</w:t>
      </w:r>
      <w:r w:rsidR="00542641" w:rsidRPr="00B320BE">
        <w:rPr>
          <w:rFonts w:ascii="Times New Roman" w:hAnsi="Times New Roman" w:cs="Times New Roman"/>
          <w:color w:val="000000" w:themeColor="text1"/>
          <w:sz w:val="24"/>
          <w:szCs w:val="24"/>
        </w:rPr>
        <w:t xml:space="preserve"> of this study is supported by the detailed classification of major variables. The concept of ESG performance indicators, including environmental aspects addressing the natural environment and social components reflecting specific people as well as governance factors specific to corporate control and management functions, is seen to be a foundation for </w:t>
      </w:r>
      <w:r w:rsidR="005E0E46" w:rsidRPr="00B320BE">
        <w:rPr>
          <w:rFonts w:ascii="Times New Roman" w:hAnsi="Times New Roman" w:cs="Times New Roman"/>
          <w:color w:val="000000" w:themeColor="text1"/>
          <w:sz w:val="24"/>
          <w:szCs w:val="24"/>
        </w:rPr>
        <w:t xml:space="preserve">a </w:t>
      </w:r>
      <w:r w:rsidR="00542641" w:rsidRPr="00B320BE">
        <w:rPr>
          <w:rFonts w:ascii="Times New Roman" w:hAnsi="Times New Roman" w:cs="Times New Roman"/>
          <w:color w:val="000000" w:themeColor="text1"/>
          <w:sz w:val="24"/>
          <w:szCs w:val="24"/>
        </w:rPr>
        <w:t xml:space="preserve">comprehensive understanding of organizational work. As a result, not only the risk related to ESG investments and investment strategies but also this variable </w:t>
      </w:r>
      <w:r w:rsidR="005E0E46" w:rsidRPr="00B320BE">
        <w:rPr>
          <w:rFonts w:ascii="Times New Roman" w:hAnsi="Times New Roman" w:cs="Times New Roman"/>
          <w:color w:val="000000" w:themeColor="text1"/>
          <w:sz w:val="24"/>
          <w:szCs w:val="24"/>
        </w:rPr>
        <w:t>information-augmented</w:t>
      </w:r>
      <w:r w:rsidR="00542641" w:rsidRPr="00B320BE">
        <w:rPr>
          <w:rFonts w:ascii="Times New Roman" w:hAnsi="Times New Roman" w:cs="Times New Roman"/>
          <w:color w:val="000000" w:themeColor="text1"/>
          <w:sz w:val="24"/>
          <w:szCs w:val="24"/>
        </w:rPr>
        <w:t xml:space="preserve"> landscape makes conducting an inclusive analysis of the complex intermingling between financial considerations and ESG principles</w:t>
      </w:r>
      <w:r w:rsidR="004E22D1" w:rsidRPr="00B320BE">
        <w:rPr>
          <w:rFonts w:ascii="Times New Roman" w:hAnsi="Times New Roman" w:cs="Times New Roman"/>
          <w:color w:val="000000" w:themeColor="text1"/>
          <w:sz w:val="24"/>
          <w:szCs w:val="24"/>
        </w:rPr>
        <w:t>.</w:t>
      </w:r>
    </w:p>
    <w:p w:rsidR="004E22D1" w:rsidRPr="00B320BE" w:rsidRDefault="004E22D1" w:rsidP="00B320BE">
      <w:pPr>
        <w:spacing w:line="360" w:lineRule="auto"/>
        <w:jc w:val="both"/>
        <w:rPr>
          <w:rFonts w:ascii="Times New Roman" w:hAnsi="Times New Roman" w:cs="Times New Roman"/>
          <w:b/>
          <w:color w:val="000000" w:themeColor="text1"/>
          <w:sz w:val="24"/>
          <w:szCs w:val="24"/>
        </w:rPr>
      </w:pPr>
    </w:p>
    <w:p w:rsidR="004E22D1" w:rsidRPr="00B320BE" w:rsidRDefault="0020133B" w:rsidP="00B320BE">
      <w:pPr>
        <w:pStyle w:val="Heading3"/>
        <w:spacing w:line="360" w:lineRule="auto"/>
        <w:jc w:val="both"/>
        <w:rPr>
          <w:rFonts w:ascii="Times New Roman" w:hAnsi="Times New Roman" w:cs="Times New Roman"/>
          <w:b/>
          <w:color w:val="000000" w:themeColor="text1"/>
        </w:rPr>
      </w:pPr>
      <w:bookmarkStart w:id="78" w:name="_Toc156676282"/>
      <w:bookmarkStart w:id="79" w:name="_Toc156845997"/>
      <w:r w:rsidRPr="00B320BE">
        <w:rPr>
          <w:rFonts w:ascii="Times New Roman" w:hAnsi="Times New Roman" w:cs="Times New Roman"/>
          <w:b/>
          <w:color w:val="000000" w:themeColor="text1"/>
        </w:rPr>
        <w:t>M</w:t>
      </w:r>
      <w:r w:rsidR="004E22D1" w:rsidRPr="00B320BE">
        <w:rPr>
          <w:rFonts w:ascii="Times New Roman" w:hAnsi="Times New Roman" w:cs="Times New Roman"/>
          <w:b/>
          <w:color w:val="000000" w:themeColor="text1"/>
        </w:rPr>
        <w:t>easureme</w:t>
      </w:r>
      <w:r w:rsidRPr="00B320BE">
        <w:rPr>
          <w:rFonts w:ascii="Times New Roman" w:hAnsi="Times New Roman" w:cs="Times New Roman"/>
          <w:b/>
          <w:color w:val="000000" w:themeColor="text1"/>
        </w:rPr>
        <w:t>nt Methods and Instruments</w:t>
      </w:r>
      <w:bookmarkEnd w:id="78"/>
      <w:bookmarkEnd w:id="79"/>
      <w:r w:rsidRPr="00B320BE">
        <w:rPr>
          <w:rFonts w:ascii="Times New Roman" w:hAnsi="Times New Roman" w:cs="Times New Roman"/>
          <w:b/>
          <w:color w:val="000000" w:themeColor="text1"/>
        </w:rPr>
        <w:t xml:space="preserve"> </w:t>
      </w:r>
    </w:p>
    <w:p w:rsidR="005D47AE" w:rsidRPr="00B320BE" w:rsidRDefault="00542641"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sources of data focus on ESG reports, STOXX® Europe ESG Leaders 50 indexes, and the methods are also applicable for measuring. </w:t>
      </w:r>
      <w:r w:rsidR="005E0E46" w:rsidRPr="00B320BE">
        <w:rPr>
          <w:rFonts w:ascii="Times New Roman" w:hAnsi="Times New Roman" w:cs="Times New Roman"/>
          <w:color w:val="000000" w:themeColor="text1"/>
          <w:sz w:val="24"/>
          <w:szCs w:val="24"/>
        </w:rPr>
        <w:t>The</w:t>
      </w:r>
      <w:r w:rsidRPr="00B320BE">
        <w:rPr>
          <w:rFonts w:ascii="Times New Roman" w:hAnsi="Times New Roman" w:cs="Times New Roman"/>
          <w:color w:val="000000" w:themeColor="text1"/>
          <w:sz w:val="24"/>
          <w:szCs w:val="24"/>
        </w:rPr>
        <w:t xml:space="preserve"> STOXX® Europe ESG Leaders 50 indexes offer a standardized approach to evaluate the leadership in sustainability, ethical business practices</w:t>
      </w:r>
      <w:r w:rsidR="005E0E46"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environmental concerns through universal metrics that are incorporated into an overall methodology – which allows for monitoring of weighted scores associated with each company under study – as opposed to specific insights into individual companies’ performance on ecolabels or other mark This qualitative lens is supported by case studies, which ideally can complement these quantitative measures and demonstrate uniquely how key variables surface into the real-life situations</w:t>
      </w:r>
      <w:r w:rsidR="004E22D1" w:rsidRPr="00B320BE">
        <w:rPr>
          <w:rFonts w:ascii="Times New Roman" w:hAnsi="Times New Roman" w:cs="Times New Roman"/>
          <w:color w:val="000000" w:themeColor="text1"/>
          <w:sz w:val="24"/>
          <w:szCs w:val="24"/>
        </w:rPr>
        <w:t>.</w:t>
      </w:r>
    </w:p>
    <w:p w:rsidR="004E22D1" w:rsidRPr="00B320BE" w:rsidRDefault="004E22D1" w:rsidP="00B320BE">
      <w:pPr>
        <w:spacing w:line="360" w:lineRule="auto"/>
        <w:jc w:val="both"/>
        <w:rPr>
          <w:rFonts w:ascii="Times New Roman" w:hAnsi="Times New Roman" w:cs="Times New Roman"/>
          <w:color w:val="000000" w:themeColor="text1"/>
          <w:sz w:val="24"/>
          <w:szCs w:val="24"/>
        </w:rPr>
      </w:pPr>
    </w:p>
    <w:p w:rsidR="005D47AE" w:rsidRPr="00B320BE" w:rsidRDefault="005D47AE" w:rsidP="00B320BE">
      <w:pPr>
        <w:pStyle w:val="Heading3"/>
        <w:spacing w:line="360" w:lineRule="auto"/>
        <w:jc w:val="both"/>
        <w:rPr>
          <w:rFonts w:ascii="Times New Roman" w:hAnsi="Times New Roman" w:cs="Times New Roman"/>
          <w:b/>
          <w:color w:val="000000" w:themeColor="text1"/>
        </w:rPr>
      </w:pPr>
      <w:bookmarkStart w:id="80" w:name="_Toc156676283"/>
      <w:bookmarkStart w:id="81" w:name="_Toc156845998"/>
      <w:r w:rsidRPr="00B320BE">
        <w:rPr>
          <w:rFonts w:ascii="Times New Roman" w:hAnsi="Times New Roman" w:cs="Times New Roman"/>
          <w:b/>
          <w:color w:val="000000" w:themeColor="text1"/>
        </w:rPr>
        <w:t>Consideration</w:t>
      </w:r>
      <w:r w:rsidR="0020133B" w:rsidRPr="00B320BE">
        <w:rPr>
          <w:rFonts w:ascii="Times New Roman" w:hAnsi="Times New Roman" w:cs="Times New Roman"/>
          <w:b/>
          <w:color w:val="000000" w:themeColor="text1"/>
        </w:rPr>
        <w:t xml:space="preserve"> of Validated Scales or Indices</w:t>
      </w:r>
      <w:bookmarkEnd w:id="80"/>
      <w:bookmarkEnd w:id="81"/>
    </w:p>
    <w:p w:rsidR="005D47AE" w:rsidRPr="00B320BE" w:rsidRDefault="00542641"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research utilizes the scales and indices that have been offered in ESG reports as well as STOXX® Europe ESG Leaders 50 indexes. These widely accepted measures offer a benchmark to measure ESG performance. Although qualitative data from the literature review and case studies do not provide standardized methods, they nonetheless contribute to a deeper study in that their inclusion provides detailed views. </w:t>
      </w:r>
      <w:r w:rsidR="005E0E46" w:rsidRPr="00B320BE">
        <w:rPr>
          <w:rFonts w:ascii="Times New Roman" w:hAnsi="Times New Roman" w:cs="Times New Roman"/>
          <w:color w:val="000000" w:themeColor="text1"/>
          <w:sz w:val="24"/>
          <w:szCs w:val="24"/>
        </w:rPr>
        <w:t>To</w:t>
      </w:r>
      <w:r w:rsidRPr="00B320BE">
        <w:rPr>
          <w:rFonts w:ascii="Times New Roman" w:hAnsi="Times New Roman" w:cs="Times New Roman"/>
          <w:color w:val="000000" w:themeColor="text1"/>
          <w:sz w:val="24"/>
          <w:szCs w:val="24"/>
        </w:rPr>
        <w:t xml:space="preserve"> sufficiently analyze the interrelationship between ESG performance indexes and financial investments in a given sample, this study promulgates three principles for defining </w:t>
      </w:r>
      <w:r w:rsidR="005E0E46"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target population; applying </w:t>
      </w:r>
      <w:r w:rsidR="005E0E46" w:rsidRPr="00B320BE">
        <w:rPr>
          <w:rFonts w:ascii="Times New Roman" w:hAnsi="Times New Roman" w:cs="Times New Roman"/>
          <w:color w:val="000000" w:themeColor="text1"/>
          <w:sz w:val="24"/>
          <w:szCs w:val="24"/>
        </w:rPr>
        <w:t xml:space="preserve">an </w:t>
      </w:r>
      <w:r w:rsidRPr="00B320BE">
        <w:rPr>
          <w:rFonts w:ascii="Times New Roman" w:hAnsi="Times New Roman" w:cs="Times New Roman"/>
          <w:color w:val="000000" w:themeColor="text1"/>
          <w:sz w:val="24"/>
          <w:szCs w:val="24"/>
        </w:rPr>
        <w:t>appropriate sampling strategy; and using existing variables and main measures</w:t>
      </w:r>
      <w:r w:rsidR="005D47AE" w:rsidRPr="00B320BE">
        <w:rPr>
          <w:rFonts w:ascii="Times New Roman" w:hAnsi="Times New Roman" w:cs="Times New Roman"/>
          <w:color w:val="000000" w:themeColor="text1"/>
          <w:sz w:val="24"/>
          <w:szCs w:val="24"/>
        </w:rPr>
        <w:t>.</w:t>
      </w:r>
    </w:p>
    <w:p w:rsidR="0020758F" w:rsidRPr="00B320BE" w:rsidRDefault="0020758F" w:rsidP="00B320BE">
      <w:pPr>
        <w:spacing w:line="360" w:lineRule="auto"/>
        <w:jc w:val="both"/>
        <w:rPr>
          <w:rFonts w:ascii="Times New Roman" w:hAnsi="Times New Roman" w:cs="Times New Roman"/>
          <w:color w:val="000000" w:themeColor="text1"/>
          <w:sz w:val="24"/>
          <w:szCs w:val="24"/>
        </w:rPr>
      </w:pPr>
    </w:p>
    <w:p w:rsidR="005D47AE"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82" w:name="_Toc156676284"/>
      <w:bookmarkStart w:id="83" w:name="_Toc156845999"/>
      <w:r w:rsidRPr="00B320BE">
        <w:rPr>
          <w:rFonts w:ascii="Times New Roman" w:hAnsi="Times New Roman" w:cs="Times New Roman"/>
          <w:b/>
          <w:color w:val="000000" w:themeColor="text1"/>
          <w:sz w:val="24"/>
          <w:szCs w:val="24"/>
        </w:rPr>
        <w:t>Data Analysis</w:t>
      </w:r>
      <w:bookmarkEnd w:id="82"/>
      <w:bookmarkEnd w:id="83"/>
    </w:p>
    <w:p w:rsidR="005D47AE" w:rsidRPr="00B320BE" w:rsidRDefault="0020133B" w:rsidP="00B320BE">
      <w:pPr>
        <w:pStyle w:val="Heading3"/>
        <w:spacing w:line="360" w:lineRule="auto"/>
        <w:jc w:val="both"/>
        <w:rPr>
          <w:rFonts w:ascii="Times New Roman" w:hAnsi="Times New Roman" w:cs="Times New Roman"/>
          <w:b/>
          <w:color w:val="000000" w:themeColor="text1"/>
        </w:rPr>
      </w:pPr>
      <w:bookmarkStart w:id="84" w:name="_Toc156676285"/>
      <w:bookmarkStart w:id="85" w:name="_Toc156846000"/>
      <w:r w:rsidRPr="00B320BE">
        <w:rPr>
          <w:rFonts w:ascii="Times New Roman" w:hAnsi="Times New Roman" w:cs="Times New Roman"/>
          <w:b/>
          <w:color w:val="000000" w:themeColor="text1"/>
        </w:rPr>
        <w:t>Analytical Techniques</w:t>
      </w:r>
      <w:bookmarkEnd w:id="84"/>
      <w:bookmarkEnd w:id="85"/>
    </w:p>
    <w:p w:rsidR="005D47AE" w:rsidRPr="00B320BE" w:rsidRDefault="00484AF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core aspect of the analytical strategy that this research is based on, therefore, lies in very discreet pattern-matching logic. This is a methodological option that overshoots the levels of just pattern recognition; it entails systematic construction for seeking their expected results from deeper understanding embedded in </w:t>
      </w:r>
      <w:r w:rsidR="00FD13C0"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detailed nature viewed here and there through highlighted different cases</w:t>
      </w:r>
      <w:r w:rsidR="00542641" w:rsidRPr="00B320BE">
        <w:rPr>
          <w:rFonts w:ascii="Times New Roman" w:hAnsi="Times New Roman" w:cs="Times New Roman"/>
          <w:color w:val="000000" w:themeColor="text1"/>
          <w:sz w:val="24"/>
          <w:szCs w:val="24"/>
        </w:rPr>
        <w:t xml:space="preserve">. This </w:t>
      </w:r>
      <w:r w:rsidR="000C52B7" w:rsidRPr="00B320BE">
        <w:rPr>
          <w:rFonts w:ascii="Times New Roman" w:hAnsi="Times New Roman" w:cs="Times New Roman"/>
          <w:color w:val="000000" w:themeColor="text1"/>
          <w:sz w:val="24"/>
          <w:szCs w:val="24"/>
        </w:rPr>
        <w:t>method's</w:t>
      </w:r>
      <w:r w:rsidR="00542641" w:rsidRPr="00B320BE">
        <w:rPr>
          <w:rFonts w:ascii="Times New Roman" w:hAnsi="Times New Roman" w:cs="Times New Roman"/>
          <w:color w:val="000000" w:themeColor="text1"/>
          <w:sz w:val="24"/>
          <w:szCs w:val="24"/>
        </w:rPr>
        <w:t xml:space="preserve"> dependence and subsequent comparison of such predicted patterns </w:t>
      </w:r>
      <w:r w:rsidR="00542641" w:rsidRPr="00B320BE">
        <w:rPr>
          <w:rFonts w:ascii="Times New Roman" w:hAnsi="Times New Roman" w:cs="Times New Roman"/>
          <w:color w:val="000000" w:themeColor="text1"/>
          <w:sz w:val="24"/>
          <w:szCs w:val="24"/>
        </w:rPr>
        <w:lastRenderedPageBreak/>
        <w:t xml:space="preserve">with empirically derived data form the basis for pattern matching. This sophisticated analytical tool does not seek only to reveal patterns but with </w:t>
      </w:r>
      <w:r w:rsidR="000C52B7" w:rsidRPr="00B320BE">
        <w:rPr>
          <w:rFonts w:ascii="Times New Roman" w:hAnsi="Times New Roman" w:cs="Times New Roman"/>
          <w:color w:val="000000" w:themeColor="text1"/>
          <w:sz w:val="24"/>
          <w:szCs w:val="24"/>
        </w:rPr>
        <w:t xml:space="preserve">an </w:t>
      </w:r>
      <w:r w:rsidR="00542641" w:rsidRPr="00B320BE">
        <w:rPr>
          <w:rFonts w:ascii="Times New Roman" w:hAnsi="Times New Roman" w:cs="Times New Roman"/>
          <w:color w:val="000000" w:themeColor="text1"/>
          <w:sz w:val="24"/>
          <w:szCs w:val="24"/>
        </w:rPr>
        <w:t>even greater focus on its unique role in finding meaningful correlates between the ESG performance indicators and investments. Through practicing pattern matching, the study aims to increase its analytical depth by revealing those underlying mechanics that define the connection between ESG practices and financial performance</w:t>
      </w:r>
      <w:r w:rsidR="005D47AE" w:rsidRPr="00B320BE">
        <w:rPr>
          <w:rFonts w:ascii="Times New Roman" w:hAnsi="Times New Roman" w:cs="Times New Roman"/>
          <w:color w:val="000000" w:themeColor="text1"/>
          <w:sz w:val="24"/>
          <w:szCs w:val="24"/>
        </w:rPr>
        <w:t>.</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5D47AE" w:rsidRPr="00B320BE" w:rsidRDefault="005D47AE" w:rsidP="00B320BE">
      <w:pPr>
        <w:pStyle w:val="Heading3"/>
        <w:spacing w:line="360" w:lineRule="auto"/>
        <w:jc w:val="both"/>
        <w:rPr>
          <w:rFonts w:ascii="Times New Roman" w:hAnsi="Times New Roman" w:cs="Times New Roman"/>
          <w:b/>
          <w:color w:val="000000" w:themeColor="text1"/>
        </w:rPr>
      </w:pPr>
      <w:bookmarkStart w:id="86" w:name="_Toc156676286"/>
      <w:bookmarkStart w:id="87" w:name="_Toc156846001"/>
      <w:r w:rsidRPr="00B320BE">
        <w:rPr>
          <w:rFonts w:ascii="Times New Roman" w:hAnsi="Times New Roman" w:cs="Times New Roman"/>
          <w:b/>
          <w:color w:val="000000" w:themeColor="text1"/>
        </w:rPr>
        <w:t>Data Processing, O</w:t>
      </w:r>
      <w:r w:rsidR="0020133B" w:rsidRPr="00B320BE">
        <w:rPr>
          <w:rFonts w:ascii="Times New Roman" w:hAnsi="Times New Roman" w:cs="Times New Roman"/>
          <w:b/>
          <w:color w:val="000000" w:themeColor="text1"/>
        </w:rPr>
        <w:t>rganization, and Interpretation</w:t>
      </w:r>
      <w:bookmarkEnd w:id="86"/>
      <w:bookmarkEnd w:id="87"/>
    </w:p>
    <w:p w:rsidR="005D47AE" w:rsidRPr="00B320BE" w:rsidRDefault="00484AF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data processing model used in this analysis does not end at extraction but performs total curation of relevant and appropriate information. A complicated process, this involves the compilation of insights from various sources such as ESG reports and analysis derived through STOXX® Europe ESL 50 Indexes besides qualitative inputs which are obtained via literature reviews a case studies</w:t>
      </w:r>
      <w:r w:rsidR="00542641" w:rsidRPr="00B320BE">
        <w:rPr>
          <w:rFonts w:ascii="Times New Roman" w:hAnsi="Times New Roman" w:cs="Times New Roman"/>
          <w:color w:val="000000" w:themeColor="text1"/>
          <w:sz w:val="24"/>
          <w:szCs w:val="24"/>
        </w:rPr>
        <w:t xml:space="preserve">. The organizational framework is not limited to a linear model; it has chosen an alternative approach—chronological and theme-based. Such a sophisticated organization seeks to make an elaborate carpet that reflects ESG development as </w:t>
      </w:r>
      <w:r w:rsidR="0036172F" w:rsidRPr="00B320BE">
        <w:rPr>
          <w:rFonts w:ascii="Times New Roman" w:hAnsi="Times New Roman" w:cs="Times New Roman"/>
          <w:color w:val="000000" w:themeColor="text1"/>
          <w:sz w:val="24"/>
          <w:szCs w:val="24"/>
        </w:rPr>
        <w:t>time</w:t>
      </w:r>
      <w:r w:rsidR="00542641" w:rsidRPr="00B320BE">
        <w:rPr>
          <w:rFonts w:ascii="Times New Roman" w:hAnsi="Times New Roman" w:cs="Times New Roman"/>
          <w:color w:val="000000" w:themeColor="text1"/>
          <w:sz w:val="24"/>
          <w:szCs w:val="24"/>
        </w:rPr>
        <w:t xml:space="preserve"> goes by and the grouping data for patterning purposes. In this connection, however, interpretation goes beyond passive comprehension; it is an active process of engaging the said patterns to make meaningful inferences from bits and pieces of empirical information incorporated together with hypothetical frameworks</w:t>
      </w:r>
      <w:r w:rsidR="004E22D1" w:rsidRPr="00B320BE">
        <w:rPr>
          <w:rFonts w:ascii="Times New Roman" w:hAnsi="Times New Roman" w:cs="Times New Roman"/>
          <w:color w:val="000000" w:themeColor="text1"/>
          <w:sz w:val="24"/>
          <w:szCs w:val="24"/>
        </w:rPr>
        <w:t>.</w:t>
      </w:r>
    </w:p>
    <w:p w:rsidR="004E22D1" w:rsidRPr="00B320BE" w:rsidRDefault="004E22D1" w:rsidP="00B320BE">
      <w:pPr>
        <w:spacing w:line="360" w:lineRule="auto"/>
        <w:jc w:val="both"/>
        <w:rPr>
          <w:rFonts w:ascii="Times New Roman" w:hAnsi="Times New Roman" w:cs="Times New Roman"/>
          <w:color w:val="000000" w:themeColor="text1"/>
          <w:sz w:val="24"/>
          <w:szCs w:val="24"/>
        </w:rPr>
      </w:pPr>
    </w:p>
    <w:p w:rsidR="005D47AE"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88" w:name="_Toc156676287"/>
      <w:bookmarkStart w:id="89" w:name="_Toc156846002"/>
      <w:r w:rsidRPr="00B320BE">
        <w:rPr>
          <w:rFonts w:ascii="Times New Roman" w:hAnsi="Times New Roman" w:cs="Times New Roman"/>
          <w:b/>
          <w:color w:val="000000" w:themeColor="text1"/>
          <w:sz w:val="24"/>
          <w:szCs w:val="24"/>
        </w:rPr>
        <w:t>Ethical Considerations</w:t>
      </w:r>
      <w:bookmarkEnd w:id="88"/>
      <w:bookmarkEnd w:id="89"/>
    </w:p>
    <w:p w:rsidR="005D47AE" w:rsidRPr="00B320BE" w:rsidRDefault="0020133B" w:rsidP="00B320BE">
      <w:pPr>
        <w:pStyle w:val="Heading3"/>
        <w:spacing w:line="360" w:lineRule="auto"/>
        <w:jc w:val="both"/>
        <w:rPr>
          <w:rFonts w:ascii="Times New Roman" w:hAnsi="Times New Roman" w:cs="Times New Roman"/>
          <w:b/>
          <w:color w:val="000000" w:themeColor="text1"/>
        </w:rPr>
      </w:pPr>
      <w:bookmarkStart w:id="90" w:name="_Toc156676288"/>
      <w:bookmarkStart w:id="91" w:name="_Toc156846003"/>
      <w:r w:rsidRPr="00B320BE">
        <w:rPr>
          <w:rFonts w:ascii="Times New Roman" w:hAnsi="Times New Roman" w:cs="Times New Roman"/>
          <w:b/>
          <w:color w:val="000000" w:themeColor="text1"/>
        </w:rPr>
        <w:t>Ethical Guidelines</w:t>
      </w:r>
      <w:bookmarkEnd w:id="90"/>
      <w:bookmarkEnd w:id="91"/>
    </w:p>
    <w:p w:rsidR="005D47AE" w:rsidRPr="00B320BE" w:rsidRDefault="00542641"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This study emphasizes strong compliance with ethical issues based on defined principles and standards for social scientific research. Though the specifics of such guidelines are not explicitly defined, the fundamental principle is laid out to implement good research practices. Using an ethical compass to guide this research ensures that every step is guided by the principles of honesty, openness, and fair treatment toward participants</w:t>
      </w:r>
      <w:r w:rsidR="005D47AE" w:rsidRPr="00B320BE">
        <w:rPr>
          <w:rFonts w:ascii="Times New Roman" w:hAnsi="Times New Roman" w:cs="Times New Roman"/>
          <w:color w:val="000000" w:themeColor="text1"/>
          <w:sz w:val="24"/>
          <w:szCs w:val="24"/>
        </w:rPr>
        <w:t>.</w:t>
      </w:r>
    </w:p>
    <w:p w:rsidR="004E22D1" w:rsidRPr="00B320BE" w:rsidRDefault="004E22D1" w:rsidP="00B320BE">
      <w:pPr>
        <w:spacing w:line="360" w:lineRule="auto"/>
        <w:jc w:val="both"/>
        <w:rPr>
          <w:rFonts w:ascii="Times New Roman" w:hAnsi="Times New Roman" w:cs="Times New Roman"/>
          <w:color w:val="000000" w:themeColor="text1"/>
          <w:sz w:val="24"/>
          <w:szCs w:val="24"/>
        </w:rPr>
      </w:pPr>
    </w:p>
    <w:p w:rsidR="005D47AE" w:rsidRPr="00B320BE" w:rsidRDefault="005D47AE" w:rsidP="00B320BE">
      <w:pPr>
        <w:pStyle w:val="Heading3"/>
        <w:spacing w:line="360" w:lineRule="auto"/>
        <w:jc w:val="both"/>
        <w:rPr>
          <w:rFonts w:ascii="Times New Roman" w:hAnsi="Times New Roman" w:cs="Times New Roman"/>
          <w:b/>
          <w:color w:val="000000" w:themeColor="text1"/>
        </w:rPr>
      </w:pPr>
      <w:bookmarkStart w:id="92" w:name="_Toc156676289"/>
      <w:bookmarkStart w:id="93" w:name="_Toc156846004"/>
      <w:r w:rsidRPr="00B320BE">
        <w:rPr>
          <w:rFonts w:ascii="Times New Roman" w:hAnsi="Times New Roman" w:cs="Times New Roman"/>
          <w:b/>
          <w:color w:val="000000" w:themeColor="text1"/>
        </w:rPr>
        <w:lastRenderedPageBreak/>
        <w:t>Participant Con</w:t>
      </w:r>
      <w:r w:rsidR="0020133B" w:rsidRPr="00B320BE">
        <w:rPr>
          <w:rFonts w:ascii="Times New Roman" w:hAnsi="Times New Roman" w:cs="Times New Roman"/>
          <w:b/>
          <w:color w:val="000000" w:themeColor="text1"/>
        </w:rPr>
        <w:t>fidentiality and Data Integrity</w:t>
      </w:r>
      <w:bookmarkEnd w:id="92"/>
      <w:bookmarkEnd w:id="93"/>
    </w:p>
    <w:p w:rsidR="005D47AE" w:rsidRPr="00B320BE" w:rsidRDefault="00542641"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 major element of the </w:t>
      </w:r>
      <w:r w:rsidR="0036172F" w:rsidRPr="00B320BE">
        <w:rPr>
          <w:rFonts w:ascii="Times New Roman" w:hAnsi="Times New Roman" w:cs="Times New Roman"/>
          <w:color w:val="000000" w:themeColor="text1"/>
          <w:sz w:val="24"/>
          <w:szCs w:val="24"/>
        </w:rPr>
        <w:t>research</w:t>
      </w:r>
      <w:r w:rsidRPr="00B320BE">
        <w:rPr>
          <w:rFonts w:ascii="Times New Roman" w:hAnsi="Times New Roman" w:cs="Times New Roman"/>
          <w:color w:val="000000" w:themeColor="text1"/>
          <w:sz w:val="24"/>
          <w:szCs w:val="24"/>
        </w:rPr>
        <w:t xml:space="preserve"> process is thorough confidentiality and integrity procedures implemented within each database. Unspoken, hidden in the design of research stands a promise to ensure that participant confidentiality will be observed and data integrity maintained through standard ethical conduct procedures. It is a condensed methodology on these details, but it clearly articulates an ethical position </w:t>
      </w:r>
      <w:r w:rsidR="005E0E46" w:rsidRPr="00B320BE">
        <w:rPr>
          <w:rFonts w:ascii="Times New Roman" w:hAnsi="Times New Roman" w:cs="Times New Roman"/>
          <w:color w:val="000000" w:themeColor="text1"/>
          <w:sz w:val="24"/>
          <w:szCs w:val="24"/>
        </w:rPr>
        <w:t>that</w:t>
      </w:r>
      <w:r w:rsidRPr="00B320BE">
        <w:rPr>
          <w:rFonts w:ascii="Times New Roman" w:hAnsi="Times New Roman" w:cs="Times New Roman"/>
          <w:color w:val="000000" w:themeColor="text1"/>
          <w:sz w:val="24"/>
          <w:szCs w:val="24"/>
        </w:rPr>
        <w:t xml:space="preserve"> sets the research in </w:t>
      </w:r>
      <w:r w:rsidR="005E0E46"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responsible and conscientious framework</w:t>
      </w:r>
      <w:r w:rsidR="005D47AE" w:rsidRPr="00B320BE">
        <w:rPr>
          <w:rFonts w:ascii="Times New Roman" w:hAnsi="Times New Roman" w:cs="Times New Roman"/>
          <w:color w:val="000000" w:themeColor="text1"/>
          <w:sz w:val="24"/>
          <w:szCs w:val="24"/>
        </w:rPr>
        <w:t>.</w:t>
      </w:r>
    </w:p>
    <w:p w:rsidR="005D47AE" w:rsidRPr="00B320BE" w:rsidRDefault="005D47AE" w:rsidP="00B320BE">
      <w:pPr>
        <w:spacing w:line="360" w:lineRule="auto"/>
        <w:jc w:val="both"/>
        <w:rPr>
          <w:rFonts w:ascii="Times New Roman" w:hAnsi="Times New Roman" w:cs="Times New Roman"/>
          <w:color w:val="000000" w:themeColor="text1"/>
          <w:sz w:val="24"/>
          <w:szCs w:val="24"/>
        </w:rPr>
      </w:pPr>
    </w:p>
    <w:p w:rsidR="005D47AE"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94" w:name="_Toc156676290"/>
      <w:bookmarkStart w:id="95" w:name="_Toc156846005"/>
      <w:r w:rsidRPr="00B320BE">
        <w:rPr>
          <w:rFonts w:ascii="Times New Roman" w:hAnsi="Times New Roman" w:cs="Times New Roman"/>
          <w:b/>
          <w:color w:val="000000" w:themeColor="text1"/>
          <w:sz w:val="24"/>
          <w:szCs w:val="24"/>
        </w:rPr>
        <w:t>Limitations</w:t>
      </w:r>
      <w:bookmarkEnd w:id="94"/>
      <w:bookmarkEnd w:id="95"/>
    </w:p>
    <w:p w:rsidR="00DD3DEA" w:rsidRPr="00B320BE" w:rsidRDefault="00DD3DEA" w:rsidP="00B320BE">
      <w:pPr>
        <w:pStyle w:val="Heading3"/>
        <w:spacing w:line="360" w:lineRule="auto"/>
        <w:jc w:val="both"/>
        <w:rPr>
          <w:rFonts w:ascii="Times New Roman" w:hAnsi="Times New Roman" w:cs="Times New Roman"/>
          <w:b/>
          <w:color w:val="000000" w:themeColor="text1"/>
        </w:rPr>
      </w:pPr>
      <w:bookmarkStart w:id="96" w:name="_Toc156676291"/>
      <w:bookmarkStart w:id="97" w:name="_Toc156846006"/>
      <w:r w:rsidRPr="00B320BE">
        <w:rPr>
          <w:rFonts w:ascii="Times New Roman" w:hAnsi="Times New Roman" w:cs="Times New Roman"/>
          <w:b/>
          <w:color w:val="000000" w:themeColor="text1"/>
        </w:rPr>
        <w:t>Id</w:t>
      </w:r>
      <w:r w:rsidR="0020133B" w:rsidRPr="00B320BE">
        <w:rPr>
          <w:rFonts w:ascii="Times New Roman" w:hAnsi="Times New Roman" w:cs="Times New Roman"/>
          <w:b/>
          <w:color w:val="000000" w:themeColor="text1"/>
        </w:rPr>
        <w:t>entification and Acknowledgment</w:t>
      </w:r>
      <w:bookmarkEnd w:id="96"/>
      <w:bookmarkEnd w:id="97"/>
    </w:p>
    <w:p w:rsidR="004E22D1" w:rsidRPr="00B320BE" w:rsidRDefault="00484AF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Since this study gives a detailed comparison of the possible constraints, there is a need for an in-depth awareness and identification of these factors that may influence such functions. These limitations, in one way or another shape themselves into numerous manifestations including geographical ones along with all those factors linked to such industrial characteristics and temporal phenomena that are reflected in this sphere</w:t>
      </w:r>
      <w:r w:rsidR="004E22D1" w:rsidRPr="00B320BE">
        <w:rPr>
          <w:rFonts w:ascii="Times New Roman" w:hAnsi="Times New Roman" w:cs="Times New Roman"/>
          <w:color w:val="000000" w:themeColor="text1"/>
          <w:sz w:val="24"/>
          <w:szCs w:val="24"/>
        </w:rPr>
        <w:t>.</w:t>
      </w:r>
    </w:p>
    <w:p w:rsidR="004E22D1" w:rsidRPr="00B320BE" w:rsidRDefault="004E22D1" w:rsidP="00B320BE">
      <w:pPr>
        <w:spacing w:line="360" w:lineRule="auto"/>
        <w:jc w:val="both"/>
        <w:rPr>
          <w:rFonts w:ascii="Times New Roman" w:hAnsi="Times New Roman" w:cs="Times New Roman"/>
          <w:color w:val="000000" w:themeColor="text1"/>
          <w:sz w:val="24"/>
          <w:szCs w:val="24"/>
        </w:rPr>
      </w:pPr>
    </w:p>
    <w:p w:rsidR="00DD3DEA" w:rsidRPr="00B320BE" w:rsidRDefault="0020133B" w:rsidP="00B320BE">
      <w:pPr>
        <w:pStyle w:val="Heading3"/>
        <w:spacing w:line="360" w:lineRule="auto"/>
        <w:jc w:val="both"/>
        <w:rPr>
          <w:rFonts w:ascii="Times New Roman" w:hAnsi="Times New Roman" w:cs="Times New Roman"/>
          <w:b/>
          <w:color w:val="000000" w:themeColor="text1"/>
        </w:rPr>
      </w:pPr>
      <w:bookmarkStart w:id="98" w:name="_Toc156676292"/>
      <w:bookmarkStart w:id="99" w:name="_Toc156846007"/>
      <w:r w:rsidRPr="00B320BE">
        <w:rPr>
          <w:rFonts w:ascii="Times New Roman" w:hAnsi="Times New Roman" w:cs="Times New Roman"/>
          <w:b/>
          <w:color w:val="000000" w:themeColor="text1"/>
        </w:rPr>
        <w:t>Geographic Scope</w:t>
      </w:r>
      <w:bookmarkEnd w:id="98"/>
      <w:bookmarkEnd w:id="99"/>
    </w:p>
    <w:p w:rsidR="00DD3DEA" w:rsidRPr="00B320BE" w:rsidRDefault="00484AF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Meanwhile, a spotlight is put on European countries as well as some generalizability issues. The imminent differences in terms of standards regarding how ESG is applied by different continents only add to the complex nature surrounding these standards, making it hard for outcomes emanating out of an undoubted flag to be transported around other nations across the globe</w:t>
      </w:r>
      <w:r w:rsidR="0036172F" w:rsidRPr="00B320BE">
        <w:rPr>
          <w:rFonts w:ascii="Times New Roman" w:hAnsi="Times New Roman" w:cs="Times New Roman"/>
          <w:color w:val="000000" w:themeColor="text1"/>
          <w:sz w:val="24"/>
          <w:szCs w:val="24"/>
        </w:rPr>
        <w:t>. The complicated interplay of regional quirks is likely to affect and undermine global adequacy with regard not only to such implementation but also to research findings implemented worldwide beyond peculiarities within regions</w:t>
      </w:r>
      <w:r w:rsidR="00DD3DEA" w:rsidRPr="00B320BE">
        <w:rPr>
          <w:rFonts w:ascii="Times New Roman" w:hAnsi="Times New Roman" w:cs="Times New Roman"/>
          <w:color w:val="000000" w:themeColor="text1"/>
          <w:sz w:val="24"/>
          <w:szCs w:val="24"/>
        </w:rPr>
        <w:t>.</w:t>
      </w:r>
    </w:p>
    <w:p w:rsidR="00DD3DEA" w:rsidRPr="00B320BE" w:rsidRDefault="00DD3DEA" w:rsidP="00B320BE">
      <w:pPr>
        <w:spacing w:line="360" w:lineRule="auto"/>
        <w:jc w:val="both"/>
        <w:rPr>
          <w:rFonts w:ascii="Times New Roman" w:hAnsi="Times New Roman" w:cs="Times New Roman"/>
          <w:color w:val="000000" w:themeColor="text1"/>
          <w:sz w:val="24"/>
          <w:szCs w:val="24"/>
        </w:rPr>
      </w:pPr>
    </w:p>
    <w:p w:rsidR="00DD3DEA" w:rsidRPr="00B320BE" w:rsidRDefault="005E0E46" w:rsidP="00B320BE">
      <w:pPr>
        <w:pStyle w:val="Heading3"/>
        <w:spacing w:line="360" w:lineRule="auto"/>
        <w:jc w:val="both"/>
        <w:rPr>
          <w:rFonts w:ascii="Times New Roman" w:hAnsi="Times New Roman" w:cs="Times New Roman"/>
          <w:b/>
          <w:color w:val="000000" w:themeColor="text1"/>
        </w:rPr>
      </w:pPr>
      <w:bookmarkStart w:id="100" w:name="_Toc156676293"/>
      <w:bookmarkStart w:id="101" w:name="_Toc156846008"/>
      <w:r w:rsidRPr="00B320BE">
        <w:rPr>
          <w:rFonts w:ascii="Times New Roman" w:hAnsi="Times New Roman" w:cs="Times New Roman"/>
          <w:b/>
          <w:color w:val="000000" w:themeColor="text1"/>
        </w:rPr>
        <w:t>Industry</w:t>
      </w:r>
      <w:r w:rsidR="0020133B" w:rsidRPr="00B320BE">
        <w:rPr>
          <w:rFonts w:ascii="Times New Roman" w:hAnsi="Times New Roman" w:cs="Times New Roman"/>
          <w:b/>
          <w:color w:val="000000" w:themeColor="text1"/>
        </w:rPr>
        <w:t>-Specific Focus</w:t>
      </w:r>
      <w:bookmarkEnd w:id="100"/>
      <w:bookmarkEnd w:id="101"/>
    </w:p>
    <w:p w:rsidR="00DD3DEA" w:rsidRPr="00B320BE" w:rsidRDefault="0036172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 critical act includes a decision that considers the restrictions in the researcher’s survey to domains embedded with financial, insurance, and banking spheres. Even though these subspaces can be frequently attractive to a set of characteristics determining ESG integration locally, one should not neglect all other analogous interpretations possible. This means that ESG industries </w:t>
      </w:r>
      <w:r w:rsidRPr="00B320BE">
        <w:rPr>
          <w:rFonts w:ascii="Times New Roman" w:hAnsi="Times New Roman" w:cs="Times New Roman"/>
          <w:color w:val="000000" w:themeColor="text1"/>
          <w:sz w:val="24"/>
          <w:szCs w:val="24"/>
        </w:rPr>
        <w:lastRenderedPageBreak/>
        <w:t>differ in each industry faction: This is due to the limited research. Therefore, it was possible that central aspects of insights that form an integral part of general understanding regarding integration could be overlooked and missed intentions actualized correctly</w:t>
      </w:r>
      <w:r w:rsidR="00DD3DEA" w:rsidRPr="00B320BE">
        <w:rPr>
          <w:rFonts w:ascii="Times New Roman" w:hAnsi="Times New Roman" w:cs="Times New Roman"/>
          <w:color w:val="000000" w:themeColor="text1"/>
          <w:sz w:val="24"/>
          <w:szCs w:val="24"/>
        </w:rPr>
        <w:t>.</w:t>
      </w:r>
    </w:p>
    <w:p w:rsidR="00DD3DEA" w:rsidRPr="00B320BE" w:rsidRDefault="00DD3DEA" w:rsidP="00B320BE">
      <w:pPr>
        <w:spacing w:line="360" w:lineRule="auto"/>
        <w:jc w:val="both"/>
        <w:rPr>
          <w:rFonts w:ascii="Times New Roman" w:hAnsi="Times New Roman" w:cs="Times New Roman"/>
          <w:color w:val="000000" w:themeColor="text1"/>
          <w:sz w:val="24"/>
          <w:szCs w:val="24"/>
        </w:rPr>
      </w:pPr>
    </w:p>
    <w:p w:rsidR="00DD3DEA"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102" w:name="_Toc156676294"/>
      <w:bookmarkStart w:id="103" w:name="_Toc156846009"/>
      <w:r w:rsidRPr="00B320BE">
        <w:rPr>
          <w:rFonts w:ascii="Times New Roman" w:hAnsi="Times New Roman" w:cs="Times New Roman"/>
          <w:b/>
          <w:color w:val="000000" w:themeColor="text1"/>
          <w:sz w:val="24"/>
          <w:szCs w:val="24"/>
        </w:rPr>
        <w:t>Impact on Interpretation</w:t>
      </w:r>
      <w:bookmarkEnd w:id="102"/>
      <w:bookmarkEnd w:id="103"/>
    </w:p>
    <w:p w:rsidR="00DD3DEA" w:rsidRPr="00B320BE" w:rsidRDefault="00DD3DEA" w:rsidP="00B320BE">
      <w:pPr>
        <w:pStyle w:val="Heading3"/>
        <w:spacing w:line="360" w:lineRule="auto"/>
        <w:jc w:val="both"/>
        <w:rPr>
          <w:rFonts w:ascii="Times New Roman" w:hAnsi="Times New Roman" w:cs="Times New Roman"/>
          <w:b/>
          <w:color w:val="000000" w:themeColor="text1"/>
        </w:rPr>
      </w:pPr>
      <w:bookmarkStart w:id="104" w:name="_Toc156676295"/>
      <w:bookmarkStart w:id="105" w:name="_Toc156846010"/>
      <w:r w:rsidRPr="00B320BE">
        <w:rPr>
          <w:rFonts w:ascii="Times New Roman" w:hAnsi="Times New Roman" w:cs="Times New Roman"/>
          <w:b/>
          <w:color w:val="000000" w:themeColor="text1"/>
        </w:rPr>
        <w:t xml:space="preserve">Limited </w:t>
      </w:r>
      <w:r w:rsidR="005E0E46" w:rsidRPr="00B320BE">
        <w:rPr>
          <w:rFonts w:ascii="Times New Roman" w:hAnsi="Times New Roman" w:cs="Times New Roman"/>
          <w:b/>
          <w:color w:val="000000" w:themeColor="text1"/>
        </w:rPr>
        <w:t>Generalization</w:t>
      </w:r>
      <w:bookmarkEnd w:id="104"/>
      <w:bookmarkEnd w:id="105"/>
    </w:p>
    <w:p w:rsidR="00DD3DEA" w:rsidRPr="00B320BE" w:rsidRDefault="005E0E46"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w:t>
      </w:r>
      <w:r w:rsidR="003730E5" w:rsidRPr="00B320BE">
        <w:rPr>
          <w:rFonts w:ascii="Times New Roman" w:hAnsi="Times New Roman" w:cs="Times New Roman"/>
          <w:color w:val="000000" w:themeColor="text1"/>
          <w:sz w:val="24"/>
          <w:szCs w:val="24"/>
        </w:rPr>
        <w:t xml:space="preserve"> consequences of regional focus and industry-specific nature are echoing in the weave of interpretation itself. A circumspect lens has to be used when generalizing the findings beyond the boundaries of this study. Transferring the inferences to other regions or industries that were not scrutinized requires a cautious approach, understanding well the limitations created by </w:t>
      </w:r>
      <w:r w:rsidRPr="00B320BE">
        <w:rPr>
          <w:rFonts w:ascii="Times New Roman" w:hAnsi="Times New Roman" w:cs="Times New Roman"/>
          <w:color w:val="000000" w:themeColor="text1"/>
          <w:sz w:val="24"/>
          <w:szCs w:val="24"/>
        </w:rPr>
        <w:t xml:space="preserve">the </w:t>
      </w:r>
      <w:r w:rsidR="003730E5" w:rsidRPr="00B320BE">
        <w:rPr>
          <w:rFonts w:ascii="Times New Roman" w:hAnsi="Times New Roman" w:cs="Times New Roman"/>
          <w:color w:val="000000" w:themeColor="text1"/>
          <w:sz w:val="24"/>
          <w:szCs w:val="24"/>
        </w:rPr>
        <w:t xml:space="preserve">geographic and industry specificity of </w:t>
      </w:r>
      <w:r w:rsidRPr="00B320BE">
        <w:rPr>
          <w:rFonts w:ascii="Times New Roman" w:hAnsi="Times New Roman" w:cs="Times New Roman"/>
          <w:color w:val="000000" w:themeColor="text1"/>
          <w:sz w:val="24"/>
          <w:szCs w:val="24"/>
        </w:rPr>
        <w:t xml:space="preserve">the </w:t>
      </w:r>
      <w:r w:rsidR="003730E5" w:rsidRPr="00B320BE">
        <w:rPr>
          <w:rFonts w:ascii="Times New Roman" w:hAnsi="Times New Roman" w:cs="Times New Roman"/>
          <w:color w:val="000000" w:themeColor="text1"/>
          <w:sz w:val="24"/>
          <w:szCs w:val="24"/>
        </w:rPr>
        <w:t>chosen landscape</w:t>
      </w:r>
      <w:r w:rsidR="00DD3DEA" w:rsidRPr="00B320BE">
        <w:rPr>
          <w:rFonts w:ascii="Times New Roman" w:hAnsi="Times New Roman" w:cs="Times New Roman"/>
          <w:color w:val="000000" w:themeColor="text1"/>
          <w:sz w:val="24"/>
          <w:szCs w:val="24"/>
        </w:rPr>
        <w:t>.</w:t>
      </w:r>
    </w:p>
    <w:p w:rsidR="00DD3DEA" w:rsidRPr="00B320BE" w:rsidRDefault="00DD3DEA" w:rsidP="00B320BE">
      <w:pPr>
        <w:spacing w:line="360" w:lineRule="auto"/>
        <w:jc w:val="both"/>
        <w:rPr>
          <w:rFonts w:ascii="Times New Roman" w:hAnsi="Times New Roman" w:cs="Times New Roman"/>
          <w:color w:val="000000" w:themeColor="text1"/>
          <w:sz w:val="24"/>
          <w:szCs w:val="24"/>
        </w:rPr>
      </w:pPr>
    </w:p>
    <w:p w:rsidR="00DD3DEA" w:rsidRPr="00B320BE" w:rsidRDefault="00DD3DEA" w:rsidP="00B320BE">
      <w:pPr>
        <w:pStyle w:val="Heading3"/>
        <w:spacing w:line="360" w:lineRule="auto"/>
        <w:jc w:val="both"/>
        <w:rPr>
          <w:rFonts w:ascii="Times New Roman" w:hAnsi="Times New Roman" w:cs="Times New Roman"/>
          <w:b/>
          <w:color w:val="000000" w:themeColor="text1"/>
        </w:rPr>
      </w:pPr>
      <w:bookmarkStart w:id="106" w:name="_Toc156676296"/>
      <w:bookmarkStart w:id="107" w:name="_Toc156846011"/>
      <w:r w:rsidRPr="00B320BE">
        <w:rPr>
          <w:rFonts w:ascii="Times New Roman" w:hAnsi="Times New Roman" w:cs="Times New Roman"/>
          <w:b/>
          <w:color w:val="000000" w:themeColor="text1"/>
        </w:rPr>
        <w:t>I</w:t>
      </w:r>
      <w:r w:rsidR="0020133B" w:rsidRPr="00B320BE">
        <w:rPr>
          <w:rFonts w:ascii="Times New Roman" w:hAnsi="Times New Roman" w:cs="Times New Roman"/>
          <w:b/>
          <w:color w:val="000000" w:themeColor="text1"/>
        </w:rPr>
        <w:t>ncomplete Sector Representation</w:t>
      </w:r>
      <w:bookmarkEnd w:id="106"/>
      <w:bookmarkEnd w:id="107"/>
    </w:p>
    <w:p w:rsidR="00DD3DEA" w:rsidRPr="00B320BE" w:rsidRDefault="003730E5"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Echoing such a potential limitation is the partiality of sectors’ representation due to selectivity within which only financial, insurance</w:t>
      </w:r>
      <w:r w:rsidR="005E0E46"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banking are delved. This strategic choice, though not entirely without merit, comes with the risk of inadequate coverage by sector. These un-included sectors may represent different ESG practices, thereby resulting in a ‘blind spot’ that undermines the holistic comprehension of what is going on in both positive and negative practice examples</w:t>
      </w:r>
      <w:r w:rsidR="00DD3DEA" w:rsidRPr="00B320BE">
        <w:rPr>
          <w:rFonts w:ascii="Times New Roman" w:hAnsi="Times New Roman" w:cs="Times New Roman"/>
          <w:color w:val="000000" w:themeColor="text1"/>
          <w:sz w:val="24"/>
          <w:szCs w:val="24"/>
        </w:rPr>
        <w:t>.</w:t>
      </w:r>
    </w:p>
    <w:p w:rsidR="00DD3DEA" w:rsidRPr="00B320BE" w:rsidRDefault="00DD3DEA" w:rsidP="00B320BE">
      <w:pPr>
        <w:spacing w:line="360" w:lineRule="auto"/>
        <w:jc w:val="both"/>
        <w:rPr>
          <w:rFonts w:ascii="Times New Roman" w:hAnsi="Times New Roman" w:cs="Times New Roman"/>
          <w:color w:val="000000" w:themeColor="text1"/>
          <w:sz w:val="24"/>
          <w:szCs w:val="24"/>
        </w:rPr>
      </w:pPr>
    </w:p>
    <w:p w:rsidR="00DD3DEA" w:rsidRPr="00B320BE" w:rsidRDefault="0020133B" w:rsidP="00B320BE">
      <w:pPr>
        <w:pStyle w:val="Heading3"/>
        <w:spacing w:line="360" w:lineRule="auto"/>
        <w:jc w:val="both"/>
        <w:rPr>
          <w:rFonts w:ascii="Times New Roman" w:hAnsi="Times New Roman" w:cs="Times New Roman"/>
          <w:b/>
          <w:color w:val="000000" w:themeColor="text1"/>
        </w:rPr>
      </w:pPr>
      <w:bookmarkStart w:id="108" w:name="_Toc156676297"/>
      <w:bookmarkStart w:id="109" w:name="_Toc156846012"/>
      <w:r w:rsidRPr="00B320BE">
        <w:rPr>
          <w:rFonts w:ascii="Times New Roman" w:hAnsi="Times New Roman" w:cs="Times New Roman"/>
          <w:b/>
          <w:color w:val="000000" w:themeColor="text1"/>
        </w:rPr>
        <w:t>Temporal Relevance</w:t>
      </w:r>
      <w:bookmarkEnd w:id="108"/>
      <w:bookmarkEnd w:id="109"/>
    </w:p>
    <w:p w:rsidR="00DD3DEA" w:rsidRPr="00B320BE" w:rsidRDefault="003730E5"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temporal dimension reveals a dynamic constraint that highlights the fleeting nature of ESG practices. What remains to be seen is the fact that the changing environment after research may introduce additional changes </w:t>
      </w:r>
      <w:r w:rsidR="005E0E46" w:rsidRPr="00B320BE">
        <w:rPr>
          <w:rFonts w:ascii="Times New Roman" w:hAnsi="Times New Roman" w:cs="Times New Roman"/>
          <w:color w:val="000000" w:themeColor="text1"/>
          <w:sz w:val="24"/>
          <w:szCs w:val="24"/>
        </w:rPr>
        <w:t>that</w:t>
      </w:r>
      <w:r w:rsidRPr="00B320BE">
        <w:rPr>
          <w:rFonts w:ascii="Times New Roman" w:hAnsi="Times New Roman" w:cs="Times New Roman"/>
          <w:color w:val="000000" w:themeColor="text1"/>
          <w:sz w:val="24"/>
          <w:szCs w:val="24"/>
        </w:rPr>
        <w:t xml:space="preserve"> have </w:t>
      </w:r>
      <w:r w:rsidR="005E0E46"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 xml:space="preserve">direct impact on </w:t>
      </w:r>
      <w:r w:rsidR="005E0E46"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 xml:space="preserve">feasibility and suitability of results. The potential temporality misalignment </w:t>
      </w:r>
      <w:r w:rsidR="005E0E46" w:rsidRPr="00B320BE">
        <w:rPr>
          <w:rFonts w:ascii="Times New Roman" w:hAnsi="Times New Roman" w:cs="Times New Roman"/>
          <w:color w:val="000000" w:themeColor="text1"/>
          <w:sz w:val="24"/>
          <w:szCs w:val="24"/>
        </w:rPr>
        <w:t>causes</w:t>
      </w:r>
      <w:r w:rsidRPr="00B320BE">
        <w:rPr>
          <w:rFonts w:ascii="Times New Roman" w:hAnsi="Times New Roman" w:cs="Times New Roman"/>
          <w:color w:val="000000" w:themeColor="text1"/>
          <w:sz w:val="24"/>
          <w:szCs w:val="24"/>
        </w:rPr>
        <w:t xml:space="preserve"> some outcomes time-sensitive, so </w:t>
      </w:r>
      <w:r w:rsidR="005E0E46" w:rsidRPr="00B320BE">
        <w:rPr>
          <w:rFonts w:ascii="Times New Roman" w:hAnsi="Times New Roman" w:cs="Times New Roman"/>
          <w:color w:val="000000" w:themeColor="text1"/>
          <w:sz w:val="24"/>
          <w:szCs w:val="24"/>
        </w:rPr>
        <w:t>requires</w:t>
      </w:r>
      <w:r w:rsidRPr="00B320BE">
        <w:rPr>
          <w:rFonts w:ascii="Times New Roman" w:hAnsi="Times New Roman" w:cs="Times New Roman"/>
          <w:color w:val="000000" w:themeColor="text1"/>
          <w:sz w:val="24"/>
          <w:szCs w:val="24"/>
        </w:rPr>
        <w:t xml:space="preserve"> them </w:t>
      </w:r>
      <w:r w:rsidR="005E0E46" w:rsidRPr="00B320BE">
        <w:rPr>
          <w:rFonts w:ascii="Times New Roman" w:hAnsi="Times New Roman" w:cs="Times New Roman"/>
          <w:color w:val="000000" w:themeColor="text1"/>
          <w:sz w:val="24"/>
          <w:szCs w:val="24"/>
        </w:rPr>
        <w:t>to industrialize</w:t>
      </w:r>
      <w:r w:rsidRPr="00B320BE">
        <w:rPr>
          <w:rFonts w:ascii="Times New Roman" w:hAnsi="Times New Roman" w:cs="Times New Roman"/>
          <w:color w:val="000000" w:themeColor="text1"/>
          <w:sz w:val="24"/>
          <w:szCs w:val="24"/>
        </w:rPr>
        <w:t xml:space="preserve"> in the temporal period of research. In conclusion, the restrictions embedded in this research must be recognized carefully because they are a guiding map for future researchers to conduct their work within these boundaries. This study has limitations that require careful consideration in relation so it may give directional guidance needed by other people conducting </w:t>
      </w:r>
      <w:r w:rsidRPr="00B320BE">
        <w:rPr>
          <w:rFonts w:ascii="Times New Roman" w:hAnsi="Times New Roman" w:cs="Times New Roman"/>
          <w:color w:val="000000" w:themeColor="text1"/>
          <w:sz w:val="24"/>
          <w:szCs w:val="24"/>
        </w:rPr>
        <w:lastRenderedPageBreak/>
        <w:t>studies others who consider such as you wish and also remember how effects influence on its generalizations</w:t>
      </w:r>
      <w:r w:rsidR="00CA45C0" w:rsidRPr="00B320BE">
        <w:rPr>
          <w:rFonts w:ascii="Times New Roman" w:hAnsi="Times New Roman" w:cs="Times New Roman"/>
          <w:color w:val="000000" w:themeColor="text1"/>
          <w:sz w:val="24"/>
          <w:szCs w:val="24"/>
        </w:rPr>
        <w:t>.</w:t>
      </w:r>
    </w:p>
    <w:p w:rsidR="00DD3DEA" w:rsidRPr="00B320BE" w:rsidRDefault="00DD3DEA" w:rsidP="00B320BE">
      <w:pPr>
        <w:spacing w:line="360" w:lineRule="auto"/>
        <w:jc w:val="both"/>
        <w:rPr>
          <w:rFonts w:ascii="Times New Roman" w:hAnsi="Times New Roman" w:cs="Times New Roman"/>
          <w:color w:val="000000" w:themeColor="text1"/>
          <w:sz w:val="24"/>
          <w:szCs w:val="24"/>
        </w:rPr>
      </w:pPr>
    </w:p>
    <w:p w:rsidR="00DD3DEA" w:rsidRPr="00B320BE" w:rsidRDefault="00DD3DEA" w:rsidP="00B320BE">
      <w:pPr>
        <w:pStyle w:val="Heading2"/>
        <w:spacing w:line="360" w:lineRule="auto"/>
        <w:jc w:val="both"/>
        <w:rPr>
          <w:rFonts w:ascii="Times New Roman" w:hAnsi="Times New Roman" w:cs="Times New Roman"/>
          <w:b/>
          <w:color w:val="000000" w:themeColor="text1"/>
          <w:sz w:val="24"/>
          <w:szCs w:val="24"/>
        </w:rPr>
      </w:pPr>
      <w:bookmarkStart w:id="110" w:name="_Toc156676298"/>
      <w:bookmarkStart w:id="111" w:name="_Toc156846013"/>
      <w:r w:rsidRPr="00B320BE">
        <w:rPr>
          <w:rFonts w:ascii="Times New Roman" w:hAnsi="Times New Roman" w:cs="Times New Roman"/>
          <w:b/>
          <w:color w:val="000000" w:themeColor="text1"/>
          <w:sz w:val="24"/>
          <w:szCs w:val="24"/>
        </w:rPr>
        <w:t>Ste</w:t>
      </w:r>
      <w:r w:rsidR="0020133B" w:rsidRPr="00B320BE">
        <w:rPr>
          <w:rFonts w:ascii="Times New Roman" w:hAnsi="Times New Roman" w:cs="Times New Roman"/>
          <w:b/>
          <w:color w:val="000000" w:themeColor="text1"/>
          <w:sz w:val="24"/>
          <w:szCs w:val="24"/>
        </w:rPr>
        <w:t>ps for Validity and Reliability</w:t>
      </w:r>
      <w:bookmarkEnd w:id="110"/>
      <w:bookmarkEnd w:id="111"/>
    </w:p>
    <w:p w:rsidR="00DD3DEA" w:rsidRPr="00B320BE" w:rsidRDefault="0020133B" w:rsidP="00B320BE">
      <w:pPr>
        <w:pStyle w:val="Heading3"/>
        <w:spacing w:line="360" w:lineRule="auto"/>
        <w:jc w:val="both"/>
        <w:rPr>
          <w:rFonts w:ascii="Times New Roman" w:hAnsi="Times New Roman" w:cs="Times New Roman"/>
          <w:b/>
          <w:color w:val="000000" w:themeColor="text1"/>
        </w:rPr>
      </w:pPr>
      <w:bookmarkStart w:id="112" w:name="_Toc156676299"/>
      <w:bookmarkStart w:id="113" w:name="_Toc156846014"/>
      <w:r w:rsidRPr="00B320BE">
        <w:rPr>
          <w:rFonts w:ascii="Times New Roman" w:hAnsi="Times New Roman" w:cs="Times New Roman"/>
          <w:b/>
          <w:color w:val="000000" w:themeColor="text1"/>
        </w:rPr>
        <w:t>Comprehensive Data Collection</w:t>
      </w:r>
      <w:bookmarkEnd w:id="112"/>
      <w:bookmarkEnd w:id="113"/>
    </w:p>
    <w:p w:rsidR="00DD3DEA" w:rsidRPr="00B320BE" w:rsidRDefault="003730E5"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measured performance of the data acquisition that includes secondary sources is </w:t>
      </w:r>
      <w:r w:rsidR="0036172F" w:rsidRPr="00B320BE">
        <w:rPr>
          <w:rFonts w:ascii="Times New Roman" w:hAnsi="Times New Roman" w:cs="Times New Roman"/>
          <w:color w:val="000000" w:themeColor="text1"/>
          <w:sz w:val="24"/>
          <w:szCs w:val="24"/>
        </w:rPr>
        <w:t xml:space="preserve">a </w:t>
      </w:r>
      <w:r w:rsidRPr="00B320BE">
        <w:rPr>
          <w:rFonts w:ascii="Times New Roman" w:hAnsi="Times New Roman" w:cs="Times New Roman"/>
          <w:color w:val="000000" w:themeColor="text1"/>
          <w:sz w:val="24"/>
          <w:szCs w:val="24"/>
        </w:rPr>
        <w:t xml:space="preserve">deliberate intention </w:t>
      </w:r>
      <w:r w:rsidR="005E0E46" w:rsidRPr="00B320BE">
        <w:rPr>
          <w:rFonts w:ascii="Times New Roman" w:hAnsi="Times New Roman" w:cs="Times New Roman"/>
          <w:color w:val="000000" w:themeColor="text1"/>
          <w:sz w:val="24"/>
          <w:szCs w:val="24"/>
        </w:rPr>
        <w:t>to</w:t>
      </w:r>
      <w:r w:rsidRPr="00B320BE">
        <w:rPr>
          <w:rFonts w:ascii="Times New Roman" w:hAnsi="Times New Roman" w:cs="Times New Roman"/>
          <w:color w:val="000000" w:themeColor="text1"/>
          <w:sz w:val="24"/>
          <w:szCs w:val="24"/>
        </w:rPr>
        <w:t xml:space="preserve"> forge a comprehensive picture of </w:t>
      </w:r>
      <w:r w:rsidR="005E0E46"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research subject. Although in the sphere of this integral collection of data, the study stands on the threshold between challenges. The requirement of data integrity and correctness is not least since it requires a balance between quantity and quality to provide more insightful information</w:t>
      </w:r>
      <w:r w:rsidR="00DD3DEA" w:rsidRPr="00B320BE">
        <w:rPr>
          <w:rFonts w:ascii="Times New Roman" w:hAnsi="Times New Roman" w:cs="Times New Roman"/>
          <w:color w:val="000000" w:themeColor="text1"/>
          <w:sz w:val="24"/>
          <w:szCs w:val="24"/>
        </w:rPr>
        <w:t>.</w:t>
      </w:r>
    </w:p>
    <w:p w:rsidR="00DD3DEA" w:rsidRPr="00B320BE" w:rsidRDefault="00DD3DEA" w:rsidP="00B320BE">
      <w:pPr>
        <w:spacing w:line="360" w:lineRule="auto"/>
        <w:jc w:val="both"/>
        <w:rPr>
          <w:rFonts w:ascii="Times New Roman" w:hAnsi="Times New Roman" w:cs="Times New Roman"/>
          <w:color w:val="000000" w:themeColor="text1"/>
          <w:sz w:val="24"/>
          <w:szCs w:val="24"/>
        </w:rPr>
      </w:pPr>
    </w:p>
    <w:p w:rsidR="00DD3DEA" w:rsidRPr="00B320BE" w:rsidRDefault="0020133B" w:rsidP="00B320BE">
      <w:pPr>
        <w:pStyle w:val="Heading3"/>
        <w:spacing w:line="360" w:lineRule="auto"/>
        <w:jc w:val="both"/>
        <w:rPr>
          <w:rFonts w:ascii="Times New Roman" w:hAnsi="Times New Roman" w:cs="Times New Roman"/>
          <w:b/>
          <w:color w:val="000000" w:themeColor="text1"/>
        </w:rPr>
      </w:pPr>
      <w:bookmarkStart w:id="114" w:name="_Toc156676300"/>
      <w:bookmarkStart w:id="115" w:name="_Toc156846015"/>
      <w:r w:rsidRPr="00B320BE">
        <w:rPr>
          <w:rFonts w:ascii="Times New Roman" w:hAnsi="Times New Roman" w:cs="Times New Roman"/>
          <w:b/>
          <w:color w:val="000000" w:themeColor="text1"/>
        </w:rPr>
        <w:t>Pattern Matching Logic</w:t>
      </w:r>
      <w:bookmarkEnd w:id="114"/>
      <w:bookmarkEnd w:id="115"/>
    </w:p>
    <w:p w:rsidR="00DD3DEA" w:rsidRPr="00B320BE" w:rsidRDefault="003730E5"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 pattern-matching logic is essentially at the analytical core of the study in terms of its application and cautious use to ensure a degree of consistency in interpretation. </w:t>
      </w:r>
      <w:r w:rsidR="00484AFF" w:rsidRPr="00B320BE">
        <w:rPr>
          <w:rFonts w:ascii="Times New Roman" w:hAnsi="Times New Roman" w:cs="Times New Roman"/>
          <w:color w:val="000000" w:themeColor="text1"/>
          <w:sz w:val="24"/>
          <w:szCs w:val="24"/>
        </w:rPr>
        <w:t xml:space="preserve">This deliberate decision makes the validity greater because designed taxonomies are made from theoretical information about life experience in an advantageous form. It is associated with the real quality that reflects </w:t>
      </w:r>
      <w:r w:rsidR="00FD13C0" w:rsidRPr="00B320BE">
        <w:rPr>
          <w:rFonts w:ascii="Times New Roman" w:hAnsi="Times New Roman" w:cs="Times New Roman"/>
          <w:color w:val="000000" w:themeColor="text1"/>
          <w:sz w:val="24"/>
          <w:szCs w:val="24"/>
        </w:rPr>
        <w:t>hard</w:t>
      </w:r>
      <w:r w:rsidR="00484AFF" w:rsidRPr="00B320BE">
        <w:rPr>
          <w:rFonts w:ascii="Times New Roman" w:hAnsi="Times New Roman" w:cs="Times New Roman"/>
          <w:color w:val="000000" w:themeColor="text1"/>
          <w:sz w:val="24"/>
          <w:szCs w:val="24"/>
        </w:rPr>
        <w:t xml:space="preserve"> character from which its interpretation is also made up as if it was somewhat inflexible towards misgivings</w:t>
      </w:r>
      <w:r w:rsidR="00EA625A" w:rsidRPr="00B320BE">
        <w:rPr>
          <w:rFonts w:ascii="Times New Roman" w:hAnsi="Times New Roman" w:cs="Times New Roman"/>
          <w:color w:val="000000" w:themeColor="text1"/>
          <w:sz w:val="24"/>
          <w:szCs w:val="24"/>
        </w:rPr>
        <w:t>.</w:t>
      </w:r>
    </w:p>
    <w:p w:rsidR="00EA625A" w:rsidRPr="00B320BE" w:rsidRDefault="00EA625A" w:rsidP="00B320BE">
      <w:pPr>
        <w:spacing w:line="360" w:lineRule="auto"/>
        <w:jc w:val="both"/>
        <w:rPr>
          <w:rFonts w:ascii="Times New Roman" w:hAnsi="Times New Roman" w:cs="Times New Roman"/>
          <w:color w:val="000000" w:themeColor="text1"/>
          <w:sz w:val="24"/>
          <w:szCs w:val="24"/>
        </w:rPr>
      </w:pPr>
    </w:p>
    <w:p w:rsidR="00DD3DEA" w:rsidRPr="00B320BE" w:rsidRDefault="0020133B" w:rsidP="00B320BE">
      <w:pPr>
        <w:pStyle w:val="Heading2"/>
        <w:spacing w:line="360" w:lineRule="auto"/>
        <w:jc w:val="both"/>
        <w:rPr>
          <w:rFonts w:ascii="Times New Roman" w:hAnsi="Times New Roman" w:cs="Times New Roman"/>
          <w:b/>
          <w:color w:val="000000" w:themeColor="text1"/>
          <w:sz w:val="24"/>
          <w:szCs w:val="24"/>
        </w:rPr>
      </w:pPr>
      <w:bookmarkStart w:id="116" w:name="_Toc156676301"/>
      <w:bookmarkStart w:id="117" w:name="_Toc156846016"/>
      <w:r w:rsidRPr="00B320BE">
        <w:rPr>
          <w:rFonts w:ascii="Times New Roman" w:hAnsi="Times New Roman" w:cs="Times New Roman"/>
          <w:b/>
          <w:color w:val="000000" w:themeColor="text1"/>
          <w:sz w:val="24"/>
          <w:szCs w:val="24"/>
        </w:rPr>
        <w:t>Mitigation of Bias</w:t>
      </w:r>
      <w:bookmarkEnd w:id="116"/>
      <w:bookmarkEnd w:id="117"/>
    </w:p>
    <w:p w:rsidR="00DD3DEA" w:rsidRPr="00B320BE" w:rsidRDefault="0020133B" w:rsidP="00B320BE">
      <w:pPr>
        <w:pStyle w:val="Heading3"/>
        <w:spacing w:line="360" w:lineRule="auto"/>
        <w:jc w:val="both"/>
        <w:rPr>
          <w:rFonts w:ascii="Times New Roman" w:hAnsi="Times New Roman" w:cs="Times New Roman"/>
          <w:b/>
          <w:color w:val="000000" w:themeColor="text1"/>
        </w:rPr>
      </w:pPr>
      <w:bookmarkStart w:id="118" w:name="_Toc156676302"/>
      <w:bookmarkStart w:id="119" w:name="_Toc156846017"/>
      <w:r w:rsidRPr="00B320BE">
        <w:rPr>
          <w:rFonts w:ascii="Times New Roman" w:hAnsi="Times New Roman" w:cs="Times New Roman"/>
          <w:b/>
          <w:color w:val="000000" w:themeColor="text1"/>
        </w:rPr>
        <w:t>Transparent Methodology</w:t>
      </w:r>
      <w:bookmarkEnd w:id="118"/>
      <w:bookmarkEnd w:id="119"/>
    </w:p>
    <w:p w:rsidR="0036172F" w:rsidRPr="00B320BE" w:rsidRDefault="00484AF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 methodology that is forceful and targeted at bias emerges as a striking modus operandi; it was an action designed to reveal the complexity of research design, data collection techniques, and analytical tools. This degree of openness becomes an unconquerable weapon in the arsenal against any potential prejudices - stakeholders can actually “look beneath its dashboard,” as one were, and evaluate what criteria such study relies upon. This realization that despite these and several other such efforts, prejudice survives even though hence palls one observant skeptical boundaries as well remarkable truths</w:t>
      </w:r>
      <w:r w:rsidR="0036172F" w:rsidRPr="00B320BE">
        <w:rPr>
          <w:rFonts w:ascii="Times New Roman" w:hAnsi="Times New Roman" w:cs="Times New Roman"/>
          <w:color w:val="000000" w:themeColor="text1"/>
          <w:sz w:val="24"/>
          <w:szCs w:val="24"/>
        </w:rPr>
        <w:t>.</w:t>
      </w:r>
    </w:p>
    <w:p w:rsidR="0036172F" w:rsidRPr="00B320BE" w:rsidRDefault="0036172F" w:rsidP="00B320BE">
      <w:pPr>
        <w:spacing w:line="360" w:lineRule="auto"/>
        <w:jc w:val="both"/>
        <w:rPr>
          <w:rFonts w:ascii="Times New Roman" w:hAnsi="Times New Roman" w:cs="Times New Roman"/>
          <w:color w:val="000000" w:themeColor="text1"/>
          <w:sz w:val="24"/>
          <w:szCs w:val="24"/>
        </w:rPr>
      </w:pPr>
    </w:p>
    <w:p w:rsidR="0036172F" w:rsidRPr="00B320BE" w:rsidRDefault="0020133B" w:rsidP="00B320BE">
      <w:pPr>
        <w:pStyle w:val="Heading3"/>
        <w:spacing w:line="360" w:lineRule="auto"/>
        <w:jc w:val="both"/>
        <w:rPr>
          <w:rFonts w:ascii="Times New Roman" w:hAnsi="Times New Roman" w:cs="Times New Roman"/>
          <w:b/>
          <w:color w:val="000000" w:themeColor="text1"/>
        </w:rPr>
      </w:pPr>
      <w:bookmarkStart w:id="120" w:name="_Toc156676303"/>
      <w:bookmarkStart w:id="121" w:name="_Toc156846018"/>
      <w:r w:rsidRPr="00B320BE">
        <w:rPr>
          <w:rFonts w:ascii="Times New Roman" w:hAnsi="Times New Roman" w:cs="Times New Roman"/>
          <w:b/>
          <w:color w:val="000000" w:themeColor="text1"/>
        </w:rPr>
        <w:t>Diverse Data Sources</w:t>
      </w:r>
      <w:bookmarkEnd w:id="120"/>
      <w:bookmarkEnd w:id="121"/>
    </w:p>
    <w:p w:rsidR="005C1445" w:rsidRPr="00B320BE" w:rsidRDefault="00484AFF"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However, using non-identical sources of data for alignment is a purposeful strategy to fight the monadic orientations since they lead </w:t>
      </w:r>
      <w:r w:rsidR="00623495" w:rsidRPr="00B320BE">
        <w:rPr>
          <w:rFonts w:ascii="Times New Roman" w:hAnsi="Times New Roman" w:cs="Times New Roman"/>
          <w:color w:val="000000" w:themeColor="text1"/>
          <w:sz w:val="24"/>
          <w:szCs w:val="24"/>
        </w:rPr>
        <w:t xml:space="preserve">to </w:t>
      </w:r>
      <w:r w:rsidRPr="00B320BE">
        <w:rPr>
          <w:rFonts w:ascii="Times New Roman" w:hAnsi="Times New Roman" w:cs="Times New Roman"/>
          <w:color w:val="000000" w:themeColor="text1"/>
          <w:sz w:val="24"/>
          <w:szCs w:val="24"/>
        </w:rPr>
        <w:t>unpredictability. In addition to the problem of bringing in a variety of views into research, there is also another subtle difficulty that appears at once. Managing discordances among such sources in other cases becomes virtually a sophisticated theme for the researcher to dance with subtlety and even requires utmost restraint on his / her part not to pass prejudices unwittingly forward through. The sober reflections on the nature of even proactive action that is taken to enhance the integrity and validity of the ESG study system as an objective design are laughable. Bias also is like an invisible night shadow that even after attentions are paid not to be left unattended stays so nobody leaves it alone. The shifting contour of ESG operations makes this landscape even harder to walk and the consistent attitude alerts us while going through a process intended to find meaning in an interpretation. Thus, it can be seen that in such a laminated context the creation of an opinion is not hard to see for no one could avoid some implications and those limits deserved due consideration because someday researchers will successfully run on muddy waters prejudice-infested with at least minimal judgment.</w:t>
      </w:r>
    </w:p>
    <w:p w:rsidR="004460AC" w:rsidRDefault="004460AC" w:rsidP="00B320BE">
      <w:pPr>
        <w:spacing w:line="360" w:lineRule="auto"/>
        <w:jc w:val="both"/>
        <w:rPr>
          <w:rFonts w:ascii="Times New Roman" w:hAnsi="Times New Roman" w:cs="Times New Roman"/>
          <w:color w:val="000000" w:themeColor="text1"/>
          <w:sz w:val="24"/>
          <w:szCs w:val="24"/>
        </w:rPr>
      </w:pPr>
    </w:p>
    <w:p w:rsidR="00E03EC8" w:rsidRPr="00B320BE" w:rsidRDefault="00E03EC8"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spacing w:line="360" w:lineRule="auto"/>
        <w:jc w:val="both"/>
        <w:rPr>
          <w:rFonts w:ascii="Times New Roman" w:hAnsi="Times New Roman" w:cs="Times New Roman"/>
          <w:color w:val="000000" w:themeColor="text1"/>
          <w:sz w:val="24"/>
          <w:szCs w:val="24"/>
        </w:rPr>
      </w:pPr>
    </w:p>
    <w:p w:rsidR="004460AC" w:rsidRDefault="004460AC" w:rsidP="00B320BE">
      <w:pPr>
        <w:spacing w:line="360" w:lineRule="auto"/>
        <w:jc w:val="both"/>
        <w:rPr>
          <w:rFonts w:ascii="Times New Roman" w:hAnsi="Times New Roman" w:cs="Times New Roman"/>
          <w:color w:val="000000" w:themeColor="text1"/>
          <w:sz w:val="24"/>
          <w:szCs w:val="24"/>
        </w:rPr>
      </w:pPr>
    </w:p>
    <w:p w:rsidR="0024740B" w:rsidRDefault="0024740B" w:rsidP="00B320BE">
      <w:pPr>
        <w:spacing w:line="360" w:lineRule="auto"/>
        <w:jc w:val="both"/>
        <w:rPr>
          <w:rFonts w:ascii="Times New Roman" w:hAnsi="Times New Roman" w:cs="Times New Roman"/>
          <w:color w:val="000000" w:themeColor="text1"/>
          <w:sz w:val="24"/>
          <w:szCs w:val="24"/>
        </w:rPr>
      </w:pPr>
    </w:p>
    <w:p w:rsidR="0024740B" w:rsidRDefault="0024740B" w:rsidP="00B320BE">
      <w:pPr>
        <w:spacing w:line="360" w:lineRule="auto"/>
        <w:jc w:val="both"/>
        <w:rPr>
          <w:rFonts w:ascii="Times New Roman" w:hAnsi="Times New Roman" w:cs="Times New Roman"/>
          <w:color w:val="000000" w:themeColor="text1"/>
          <w:sz w:val="24"/>
          <w:szCs w:val="24"/>
        </w:rPr>
      </w:pPr>
    </w:p>
    <w:p w:rsidR="0024740B" w:rsidRDefault="0024740B" w:rsidP="00B320BE">
      <w:pPr>
        <w:spacing w:line="360" w:lineRule="auto"/>
        <w:jc w:val="both"/>
        <w:rPr>
          <w:rFonts w:ascii="Times New Roman" w:hAnsi="Times New Roman" w:cs="Times New Roman"/>
          <w:color w:val="000000" w:themeColor="text1"/>
          <w:sz w:val="24"/>
          <w:szCs w:val="24"/>
        </w:rPr>
      </w:pPr>
    </w:p>
    <w:p w:rsidR="0024740B" w:rsidRDefault="0024740B" w:rsidP="00B320BE">
      <w:pPr>
        <w:spacing w:line="360" w:lineRule="auto"/>
        <w:jc w:val="both"/>
        <w:rPr>
          <w:rFonts w:ascii="Times New Roman" w:hAnsi="Times New Roman" w:cs="Times New Roman"/>
          <w:color w:val="000000" w:themeColor="text1"/>
          <w:sz w:val="24"/>
          <w:szCs w:val="24"/>
        </w:rPr>
      </w:pPr>
    </w:p>
    <w:p w:rsidR="0024740B" w:rsidRDefault="0024740B" w:rsidP="00B320BE">
      <w:pPr>
        <w:spacing w:line="360" w:lineRule="auto"/>
        <w:jc w:val="both"/>
        <w:rPr>
          <w:rFonts w:ascii="Times New Roman" w:hAnsi="Times New Roman" w:cs="Times New Roman"/>
          <w:color w:val="000000" w:themeColor="text1"/>
          <w:sz w:val="24"/>
          <w:szCs w:val="24"/>
        </w:rPr>
      </w:pPr>
    </w:p>
    <w:p w:rsidR="0024740B" w:rsidRDefault="0024740B" w:rsidP="00B320BE">
      <w:pPr>
        <w:spacing w:line="360" w:lineRule="auto"/>
        <w:jc w:val="both"/>
        <w:rPr>
          <w:rFonts w:ascii="Times New Roman" w:hAnsi="Times New Roman" w:cs="Times New Roman"/>
          <w:color w:val="000000" w:themeColor="text1"/>
          <w:sz w:val="24"/>
          <w:szCs w:val="24"/>
        </w:rPr>
      </w:pPr>
    </w:p>
    <w:p w:rsidR="0024740B" w:rsidRDefault="0024740B" w:rsidP="00B320BE">
      <w:pPr>
        <w:spacing w:line="360" w:lineRule="auto"/>
        <w:jc w:val="both"/>
        <w:rPr>
          <w:rFonts w:ascii="Times New Roman" w:hAnsi="Times New Roman" w:cs="Times New Roman"/>
          <w:color w:val="000000" w:themeColor="text1"/>
          <w:sz w:val="24"/>
          <w:szCs w:val="24"/>
        </w:rPr>
      </w:pPr>
    </w:p>
    <w:p w:rsidR="0024740B" w:rsidRDefault="00E03EC8" w:rsidP="00B320BE">
      <w:pPr>
        <w:spacing w:line="360" w:lineRule="auto"/>
        <w:jc w:val="both"/>
        <w:rPr>
          <w:rFonts w:ascii="Times New Roman" w:hAnsi="Times New Roman" w:cs="Times New Roman"/>
          <w:color w:val="000000" w:themeColor="text1"/>
          <w:sz w:val="24"/>
          <w:szCs w:val="24"/>
        </w:rPr>
      </w:pPr>
      <w:r>
        <w:rPr>
          <w:noProof/>
        </w:rPr>
        <w:lastRenderedPageBreak/>
        <mc:AlternateContent>
          <mc:Choice Requires="wps">
            <w:drawing>
              <wp:anchor distT="0" distB="0" distL="114300" distR="114300" simplePos="0" relativeHeight="251681792" behindDoc="0" locked="0" layoutInCell="1" allowOverlap="1" wp14:anchorId="031F2944" wp14:editId="5D7ED863">
                <wp:simplePos x="0" y="0"/>
                <wp:positionH relativeFrom="column">
                  <wp:posOffset>0</wp:posOffset>
                </wp:positionH>
                <wp:positionV relativeFrom="paragraph">
                  <wp:posOffset>6499225</wp:posOffset>
                </wp:positionV>
                <wp:extent cx="6045200" cy="635"/>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6045200" cy="635"/>
                        </a:xfrm>
                        <a:prstGeom prst="rect">
                          <a:avLst/>
                        </a:prstGeom>
                        <a:solidFill>
                          <a:prstClr val="white"/>
                        </a:solidFill>
                        <a:ln>
                          <a:noFill/>
                        </a:ln>
                      </wps:spPr>
                      <wps:txbx>
                        <w:txbxContent>
                          <w:p w:rsidR="00E03EC8" w:rsidRPr="00E03EC8" w:rsidRDefault="00E03EC8" w:rsidP="00E03EC8">
                            <w:pPr>
                              <w:pStyle w:val="Caption"/>
                              <w:rPr>
                                <w:rFonts w:ascii="Times New Roman" w:hAnsi="Times New Roman" w:cs="Times New Roman"/>
                                <w:b/>
                                <w:i w:val="0"/>
                                <w:noProof/>
                                <w:color w:val="auto"/>
                                <w:sz w:val="36"/>
                                <w:szCs w:val="24"/>
                              </w:rPr>
                            </w:pPr>
                            <w:bookmarkStart w:id="122" w:name="_Toc156846081"/>
                            <w:r w:rsidRPr="00E03EC8">
                              <w:rPr>
                                <w:rFonts w:ascii="Times New Roman" w:hAnsi="Times New Roman" w:cs="Times New Roman"/>
                                <w:b/>
                                <w:i w:val="0"/>
                                <w:color w:val="auto"/>
                                <w:sz w:val="24"/>
                              </w:rPr>
                              <w:t xml:space="preserve">Figure </w:t>
                            </w:r>
                            <w:r w:rsidRPr="00E03EC8">
                              <w:rPr>
                                <w:rFonts w:ascii="Times New Roman" w:hAnsi="Times New Roman" w:cs="Times New Roman"/>
                                <w:b/>
                                <w:i w:val="0"/>
                                <w:color w:val="auto"/>
                                <w:sz w:val="24"/>
                              </w:rPr>
                              <w:fldChar w:fldCharType="begin"/>
                            </w:r>
                            <w:r w:rsidRPr="00E03EC8">
                              <w:rPr>
                                <w:rFonts w:ascii="Times New Roman" w:hAnsi="Times New Roman" w:cs="Times New Roman"/>
                                <w:b/>
                                <w:i w:val="0"/>
                                <w:color w:val="auto"/>
                                <w:sz w:val="24"/>
                              </w:rPr>
                              <w:instrText xml:space="preserve"> SEQ Figure \* ARABIC </w:instrText>
                            </w:r>
                            <w:r w:rsidRPr="00E03EC8">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5</w:t>
                            </w:r>
                            <w:bookmarkEnd w:id="122"/>
                            <w:r w:rsidRPr="00E03EC8">
                              <w:rPr>
                                <w:rFonts w:ascii="Times New Roman" w:hAnsi="Times New Roman" w:cs="Times New Roman"/>
                                <w:b/>
                                <w:i w:val="0"/>
                                <w:color w:val="auto"/>
                                <w:sz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1F2944" id="Text Box 25" o:spid="_x0000_s1028" type="#_x0000_t202" style="position:absolute;left:0;text-align:left;margin-left:0;margin-top:511.75pt;width:476pt;height:.0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" stroked="f">
                <v:textbox style="mso-fit-shape-to-text:t" inset="0,0,0,0">
                  <w:txbxContent>
                    <w:p w:rsidR="00E03EC8" w:rsidRPr="00E03EC8" w:rsidRDefault="00E03EC8" w:rsidP="00E03EC8">
                      <w:pPr>
                        <w:pStyle w:val="Caption"/>
                        <w:rPr>
                          <w:rFonts w:ascii="Times New Roman" w:hAnsi="Times New Roman" w:cs="Times New Roman"/>
                          <w:b/>
                          <w:i w:val="0"/>
                          <w:noProof/>
                          <w:color w:val="auto"/>
                          <w:sz w:val="36"/>
                          <w:szCs w:val="24"/>
                        </w:rPr>
                      </w:pPr>
                      <w:bookmarkStart w:id="123" w:name="_Toc156846081"/>
                      <w:r w:rsidRPr="00E03EC8">
                        <w:rPr>
                          <w:rFonts w:ascii="Times New Roman" w:hAnsi="Times New Roman" w:cs="Times New Roman"/>
                          <w:b/>
                          <w:i w:val="0"/>
                          <w:color w:val="auto"/>
                          <w:sz w:val="24"/>
                        </w:rPr>
                        <w:t xml:space="preserve">Figure </w:t>
                      </w:r>
                      <w:r w:rsidRPr="00E03EC8">
                        <w:rPr>
                          <w:rFonts w:ascii="Times New Roman" w:hAnsi="Times New Roman" w:cs="Times New Roman"/>
                          <w:b/>
                          <w:i w:val="0"/>
                          <w:color w:val="auto"/>
                          <w:sz w:val="24"/>
                        </w:rPr>
                        <w:fldChar w:fldCharType="begin"/>
                      </w:r>
                      <w:r w:rsidRPr="00E03EC8">
                        <w:rPr>
                          <w:rFonts w:ascii="Times New Roman" w:hAnsi="Times New Roman" w:cs="Times New Roman"/>
                          <w:b/>
                          <w:i w:val="0"/>
                          <w:color w:val="auto"/>
                          <w:sz w:val="24"/>
                        </w:rPr>
                        <w:instrText xml:space="preserve"> SEQ Figure \* ARABIC </w:instrText>
                      </w:r>
                      <w:r w:rsidRPr="00E03EC8">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5</w:t>
                      </w:r>
                      <w:bookmarkEnd w:id="123"/>
                      <w:r w:rsidRPr="00E03EC8">
                        <w:rPr>
                          <w:rFonts w:ascii="Times New Roman" w:hAnsi="Times New Roman" w:cs="Times New Roman"/>
                          <w:b/>
                          <w:i w:val="0"/>
                          <w:color w:val="auto"/>
                          <w:sz w:val="24"/>
                        </w:rPr>
                        <w:fldChar w:fldCharType="end"/>
                      </w:r>
                    </w:p>
                  </w:txbxContent>
                </v:textbox>
                <w10:wrap type="square"/>
              </v:shape>
            </w:pict>
          </mc:Fallback>
        </mc:AlternateContent>
      </w:r>
      <w:r>
        <w:rPr>
          <w:rFonts w:ascii="Times New Roman" w:hAnsi="Times New Roman" w:cs="Times New Roman"/>
          <w:noProof/>
          <w:color w:val="000000" w:themeColor="text1"/>
          <w:sz w:val="24"/>
          <w:szCs w:val="24"/>
        </w:rPr>
        <w:drawing>
          <wp:anchor distT="0" distB="0" distL="114300" distR="114300" simplePos="0" relativeHeight="251679744" behindDoc="0" locked="0" layoutInCell="1" allowOverlap="1" wp14:anchorId="66404121" wp14:editId="4A0F86CC">
            <wp:simplePos x="0" y="0"/>
            <wp:positionH relativeFrom="column">
              <wp:posOffset>0</wp:posOffset>
            </wp:positionH>
            <wp:positionV relativeFrom="paragraph">
              <wp:posOffset>0</wp:posOffset>
            </wp:positionV>
            <wp:extent cx="6045200" cy="6223000"/>
            <wp:effectExtent l="76200" t="76200" r="127000" b="13970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6045200" cy="6223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E03EC8" w:rsidRDefault="00E03EC8" w:rsidP="00B320BE">
      <w:pPr>
        <w:spacing w:line="360" w:lineRule="auto"/>
        <w:jc w:val="both"/>
        <w:rPr>
          <w:rFonts w:ascii="Times New Roman" w:hAnsi="Times New Roman" w:cs="Times New Roman"/>
          <w:color w:val="000000" w:themeColor="text1"/>
          <w:sz w:val="24"/>
          <w:szCs w:val="24"/>
        </w:rPr>
      </w:pPr>
    </w:p>
    <w:p w:rsidR="00E03EC8" w:rsidRDefault="00E03EC8" w:rsidP="00B320BE">
      <w:pPr>
        <w:spacing w:line="360" w:lineRule="auto"/>
        <w:jc w:val="both"/>
        <w:rPr>
          <w:rFonts w:ascii="Times New Roman" w:hAnsi="Times New Roman" w:cs="Times New Roman"/>
          <w:color w:val="000000" w:themeColor="text1"/>
          <w:sz w:val="24"/>
          <w:szCs w:val="24"/>
        </w:rPr>
      </w:pPr>
    </w:p>
    <w:p w:rsidR="00E03EC8" w:rsidRPr="00B320BE" w:rsidRDefault="00E03EC8"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1"/>
        <w:spacing w:line="360" w:lineRule="auto"/>
        <w:jc w:val="both"/>
        <w:rPr>
          <w:rFonts w:ascii="Times New Roman" w:hAnsi="Times New Roman" w:cs="Times New Roman"/>
          <w:b/>
          <w:color w:val="000000" w:themeColor="text1"/>
          <w:sz w:val="24"/>
          <w:szCs w:val="24"/>
        </w:rPr>
      </w:pPr>
      <w:bookmarkStart w:id="124" w:name="_Toc156676304"/>
      <w:bookmarkStart w:id="125" w:name="_Toc156846019"/>
      <w:r w:rsidRPr="00B320BE">
        <w:rPr>
          <w:rFonts w:ascii="Times New Roman" w:hAnsi="Times New Roman" w:cs="Times New Roman"/>
          <w:b/>
          <w:color w:val="000000" w:themeColor="text1"/>
          <w:sz w:val="24"/>
          <w:szCs w:val="24"/>
        </w:rPr>
        <w:lastRenderedPageBreak/>
        <w:t>Chapter: 3</w:t>
      </w:r>
      <w:bookmarkEnd w:id="124"/>
      <w:bookmarkEnd w:id="125"/>
    </w:p>
    <w:p w:rsidR="004460AC" w:rsidRPr="00B320BE" w:rsidRDefault="004460AC" w:rsidP="00B320BE">
      <w:pPr>
        <w:pStyle w:val="Heading1"/>
        <w:spacing w:line="360" w:lineRule="auto"/>
        <w:jc w:val="both"/>
        <w:rPr>
          <w:rFonts w:ascii="Times New Roman" w:hAnsi="Times New Roman" w:cs="Times New Roman"/>
          <w:b/>
          <w:color w:val="000000" w:themeColor="text1"/>
          <w:sz w:val="24"/>
          <w:szCs w:val="24"/>
        </w:rPr>
      </w:pPr>
      <w:bookmarkStart w:id="126" w:name="_Toc156676305"/>
      <w:bookmarkStart w:id="127" w:name="_Toc156846020"/>
      <w:r w:rsidRPr="00B320BE">
        <w:rPr>
          <w:rFonts w:ascii="Times New Roman" w:hAnsi="Times New Roman" w:cs="Times New Roman"/>
          <w:b/>
          <w:color w:val="000000" w:themeColor="text1"/>
          <w:sz w:val="24"/>
          <w:szCs w:val="24"/>
        </w:rPr>
        <w:t>Results &amp; Discussion</w:t>
      </w:r>
      <w:bookmarkEnd w:id="126"/>
      <w:bookmarkEnd w:id="127"/>
    </w:p>
    <w:p w:rsidR="004460AC" w:rsidRPr="00B320BE" w:rsidRDefault="004460AC" w:rsidP="00B320BE">
      <w:pPr>
        <w:spacing w:line="360" w:lineRule="auto"/>
        <w:jc w:val="both"/>
        <w:rPr>
          <w:rFonts w:ascii="Times New Roman" w:hAnsi="Times New Roman" w:cs="Times New Roman"/>
          <w:b/>
          <w:color w:val="000000" w:themeColor="text1"/>
          <w:sz w:val="24"/>
          <w:szCs w:val="24"/>
        </w:rPr>
      </w:pPr>
    </w:p>
    <w:p w:rsidR="004460AC" w:rsidRPr="00B320BE" w:rsidRDefault="004460AC" w:rsidP="00B320BE">
      <w:pPr>
        <w:pStyle w:val="Heading2"/>
        <w:spacing w:line="360" w:lineRule="auto"/>
        <w:jc w:val="both"/>
        <w:rPr>
          <w:rFonts w:ascii="Times New Roman" w:hAnsi="Times New Roman" w:cs="Times New Roman"/>
          <w:b/>
          <w:color w:val="000000" w:themeColor="text1"/>
          <w:sz w:val="24"/>
          <w:szCs w:val="24"/>
        </w:rPr>
      </w:pPr>
      <w:bookmarkStart w:id="128" w:name="_Toc156676306"/>
      <w:bookmarkStart w:id="129" w:name="_Toc156846021"/>
      <w:r w:rsidRPr="00B320BE">
        <w:rPr>
          <w:rFonts w:ascii="Times New Roman" w:hAnsi="Times New Roman" w:cs="Times New Roman"/>
          <w:b/>
          <w:color w:val="000000" w:themeColor="text1"/>
          <w:sz w:val="24"/>
          <w:szCs w:val="24"/>
        </w:rPr>
        <w:t>Introduction</w:t>
      </w:r>
      <w:bookmarkEnd w:id="128"/>
      <w:bookmarkEnd w:id="129"/>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Financial institutions have a key role in determining the contours of global economies, with their ESG compliance becoming an important factor. This chapter delves into the ESG performance of five major international banks: Intesa Sanpaolo, Nordea Bank, ING Group</w:t>
      </w:r>
      <w:r w:rsidR="0024740B">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BNP Paribas, and Banco Santander. While facing sustainability problems, society tries to ensure that financial sector influences are readjustment through guiding investments on taking the approaches of responsible and ethical practices. The role of ESG factors in the decision-making processes, regarding strategies and commitments that these institutions have considered or embarked on from time to time is investigated. Sustainability is a moral responsibility and an essential business strategy that influences how organizations manage risk, spend money, and behave generally. The chapter develops by describing each bank individually, giving a detailed review of their ESG ratings and sustainable lending concepts as well as climate risk management practices. The comparative analysis gives insight into how these financial titans position themselves in the changing matrix of sustainable banking.</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Outside of the bank assessments, regulations, and reporting standards are also illuminated. To shed more light on the legal frameworks that underpin non-financial disclosures, a discussion of the European Union’s Directives including Directive 2014/95/EU and Corporate Sustainability Reporting Directive (CSRD) are included in this piece. Besides, the chapter describes the framework and standard utilization by banks for ESG reporting and it highlights the alignment with 17 SDGs of the UN. About this, the role of ESG considerations on market behavior is discussed while focusing on herding behaviors in the vein of investments in climate and environment. It then evaluates the various methods investors utilize in navigating through a sustainability terrain, the ESG factors that influence decision-making, and its possible herd behavior effects. Offering a complimentary process, a SWOT analysis is done on each financial institution. Therefore, this strategic review takes sustainability goals and investment practices into account in addition to climate risk management within the SWOT framework so that each bank’s position is considered not only from a traditional perspective.</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Finally, the conclusion of this chapter refers to a summary of findings highlighting the delicate dance between financial markets and their ESG implications. It emphasizes the critical role played by financial institutions to guide flows of global capital towards sustainable practices and records findings for investors, professionals, and beyond.</w:t>
      </w:r>
    </w:p>
    <w:p w:rsidR="004460AC" w:rsidRPr="00B320BE" w:rsidRDefault="004460AC"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2"/>
        <w:spacing w:line="360" w:lineRule="auto"/>
        <w:jc w:val="both"/>
        <w:rPr>
          <w:rFonts w:ascii="Times New Roman" w:hAnsi="Times New Roman" w:cs="Times New Roman"/>
          <w:b/>
          <w:color w:val="000000" w:themeColor="text1"/>
          <w:sz w:val="24"/>
          <w:szCs w:val="24"/>
        </w:rPr>
      </w:pPr>
      <w:bookmarkStart w:id="130" w:name="_Toc156676307"/>
      <w:bookmarkStart w:id="131" w:name="_Toc156846022"/>
      <w:r w:rsidRPr="00B320BE">
        <w:rPr>
          <w:rFonts w:ascii="Times New Roman" w:hAnsi="Times New Roman" w:cs="Times New Roman"/>
          <w:b/>
          <w:color w:val="000000" w:themeColor="text1"/>
          <w:sz w:val="24"/>
          <w:szCs w:val="24"/>
        </w:rPr>
        <w:t>ESG Performance Analysis of Selected Financial Institutions</w:t>
      </w:r>
      <w:bookmarkEnd w:id="130"/>
      <w:bookmarkEnd w:id="131"/>
    </w:p>
    <w:p w:rsidR="004460AC" w:rsidRPr="00B320BE" w:rsidRDefault="004460AC" w:rsidP="00B320BE">
      <w:pPr>
        <w:spacing w:line="360" w:lineRule="auto"/>
        <w:jc w:val="both"/>
        <w:rPr>
          <w:rFonts w:ascii="Times New Roman" w:hAnsi="Times New Roman" w:cs="Times New Roman"/>
          <w:b/>
          <w:color w:val="000000" w:themeColor="text1"/>
          <w:sz w:val="24"/>
          <w:szCs w:val="24"/>
        </w:rPr>
      </w:pPr>
    </w:p>
    <w:p w:rsidR="004460AC" w:rsidRPr="00B320BE" w:rsidRDefault="004460AC" w:rsidP="00B320BE">
      <w:pPr>
        <w:pStyle w:val="Heading3"/>
        <w:spacing w:line="360" w:lineRule="auto"/>
        <w:jc w:val="both"/>
        <w:rPr>
          <w:rFonts w:ascii="Times New Roman" w:hAnsi="Times New Roman" w:cs="Times New Roman"/>
          <w:b/>
          <w:color w:val="000000" w:themeColor="text1"/>
        </w:rPr>
      </w:pPr>
      <w:bookmarkStart w:id="132" w:name="_Toc156676308"/>
      <w:bookmarkStart w:id="133" w:name="_Toc156846023"/>
      <w:r w:rsidRPr="00B320BE">
        <w:rPr>
          <w:rFonts w:ascii="Times New Roman" w:hAnsi="Times New Roman" w:cs="Times New Roman"/>
          <w:b/>
          <w:color w:val="000000" w:themeColor="text1"/>
        </w:rPr>
        <w:t>Intesa Sanpaolo</w:t>
      </w:r>
      <w:bookmarkEnd w:id="132"/>
      <w:bookmarkEnd w:id="133"/>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34" w:name="_Toc156676309"/>
      <w:r w:rsidRPr="00B320BE">
        <w:rPr>
          <w:rFonts w:ascii="Times New Roman" w:hAnsi="Times New Roman" w:cs="Times New Roman"/>
          <w:b/>
          <w:i w:val="0"/>
          <w:color w:val="000000" w:themeColor="text1"/>
          <w:sz w:val="24"/>
          <w:szCs w:val="24"/>
        </w:rPr>
        <w:t>ESG Ratings and Overview</w:t>
      </w:r>
      <w:bookmarkEnd w:id="134"/>
    </w:p>
    <w:p w:rsidR="004460AC"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Intesa Sanpaolo is an ESG giant among European banking institutions that has a huge social commitment, a good position in terms of societal impact, and a strong climate focus. t is the biggest bank conglomerate in Italy, having more than 3.4 thousand lounges and almost 13.6 million clients; as large institutional investors and financial organizations continue to gain presence within their pursuit for dominating environmental growth through investment activities on corporate social responsibility. Intesa Sanpaolo recognizes that responsibility is vital and sees the inclusion of ESG metrics in its investment process as fundamental. It argues that, along with supporting economically and socially viable green growth, they can improve the performance of customer portfo</w:t>
      </w:r>
      <w:r w:rsidR="00FD426E" w:rsidRPr="00B320BE">
        <w:rPr>
          <w:rFonts w:ascii="Times New Roman" w:hAnsi="Times New Roman" w:cs="Times New Roman"/>
          <w:color w:val="000000" w:themeColor="text1"/>
          <w:sz w:val="24"/>
          <w:szCs w:val="24"/>
        </w:rPr>
        <w:t>lios while reducing their risks (Intesa Sanpaolo, 2022).</w:t>
      </w:r>
    </w:p>
    <w:p w:rsidR="00604AC6" w:rsidRDefault="00604AC6" w:rsidP="00604AC6">
      <w:pPr>
        <w:keepNext/>
        <w:spacing w:line="360" w:lineRule="auto"/>
        <w:jc w:val="center"/>
      </w:pPr>
      <w:r w:rsidRPr="00604AC6">
        <w:rPr>
          <w:rFonts w:ascii="Times New Roman" w:hAnsi="Times New Roman" w:cs="Times New Roman"/>
          <w:color w:val="000000" w:themeColor="text1"/>
          <w:sz w:val="24"/>
          <w:szCs w:val="24"/>
        </w:rPr>
        <w:drawing>
          <wp:inline distT="0" distB="0" distL="0" distR="0" wp14:anchorId="50B32AF5" wp14:editId="0483D399">
            <wp:extent cx="6008664" cy="2442750"/>
            <wp:effectExtent l="76200" t="76200" r="125730" b="129540"/>
            <wp:docPr id="26" name="Picture 26" descr="https://www.ilmessaggero.it/photos/MED_HIGH/35/05/6503505_109_2022-02-14_TL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ilmessaggero.it/photos/MED_HIGH/35/05/6503505_109_2022-02-14_TLB.jpg"/>
                    <pic:cNvPicPr>
                      <a:picLocks noChangeAspect="1" noChangeArrowheads="1"/>
                    </pic:cNvPicPr>
                  </pic:nvPicPr>
                  <pic:blipFill rotWithShape="1">
                    <a:blip r:embed="rId25">
                      <a:extLst>
                        <a:ext uri="{28A0092B-C50C-407E-A947-70E740481C1C}">
                          <a14:useLocalDpi xmlns:a14="http://schemas.microsoft.com/office/drawing/2010/main" val="0"/>
                        </a:ext>
                      </a:extLst>
                    </a:blip>
                    <a:srcRect t="28793"/>
                    <a:stretch/>
                  </pic:blipFill>
                  <pic:spPr bwMode="auto">
                    <a:xfrm>
                      <a:off x="0" y="0"/>
                      <a:ext cx="6045451" cy="24577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460AC" w:rsidRDefault="00604AC6" w:rsidP="00CF68A3">
      <w:pPr>
        <w:pStyle w:val="Caption"/>
        <w:rPr>
          <w:rFonts w:ascii="Times New Roman" w:hAnsi="Times New Roman" w:cs="Times New Roman"/>
          <w:b/>
          <w:i w:val="0"/>
          <w:color w:val="auto"/>
          <w:sz w:val="24"/>
        </w:rPr>
      </w:pPr>
      <w:bookmarkStart w:id="135" w:name="_Toc156846082"/>
      <w:r w:rsidRPr="00604AC6">
        <w:rPr>
          <w:rFonts w:ascii="Times New Roman" w:hAnsi="Times New Roman" w:cs="Times New Roman"/>
          <w:b/>
          <w:i w:val="0"/>
          <w:color w:val="auto"/>
          <w:sz w:val="24"/>
        </w:rPr>
        <w:t xml:space="preserve">Figure </w:t>
      </w:r>
      <w:r w:rsidRPr="00604AC6">
        <w:rPr>
          <w:rFonts w:ascii="Times New Roman" w:hAnsi="Times New Roman" w:cs="Times New Roman"/>
          <w:b/>
          <w:i w:val="0"/>
          <w:color w:val="auto"/>
          <w:sz w:val="24"/>
        </w:rPr>
        <w:fldChar w:fldCharType="begin"/>
      </w:r>
      <w:r w:rsidRPr="00604AC6">
        <w:rPr>
          <w:rFonts w:ascii="Times New Roman" w:hAnsi="Times New Roman" w:cs="Times New Roman"/>
          <w:b/>
          <w:i w:val="0"/>
          <w:color w:val="auto"/>
          <w:sz w:val="24"/>
        </w:rPr>
        <w:instrText xml:space="preserve"> SEQ Figure \* ARABIC </w:instrText>
      </w:r>
      <w:r w:rsidRPr="00604AC6">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6</w:t>
      </w:r>
      <w:bookmarkEnd w:id="135"/>
      <w:r w:rsidRPr="00604AC6">
        <w:rPr>
          <w:rFonts w:ascii="Times New Roman" w:hAnsi="Times New Roman" w:cs="Times New Roman"/>
          <w:b/>
          <w:i w:val="0"/>
          <w:color w:val="auto"/>
          <w:sz w:val="24"/>
        </w:rPr>
        <w:fldChar w:fldCharType="end"/>
      </w:r>
    </w:p>
    <w:p w:rsidR="00CF68A3" w:rsidRPr="00CF68A3" w:rsidRDefault="00CF68A3" w:rsidP="00CF68A3"/>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36" w:name="_Toc156676310"/>
      <w:r w:rsidRPr="00B320BE">
        <w:rPr>
          <w:rFonts w:ascii="Times New Roman" w:hAnsi="Times New Roman" w:cs="Times New Roman"/>
          <w:b/>
          <w:i w:val="0"/>
          <w:color w:val="000000" w:themeColor="text1"/>
          <w:sz w:val="24"/>
          <w:szCs w:val="24"/>
        </w:rPr>
        <w:t>Sustainable Finance Initiatives</w:t>
      </w:r>
      <w:bookmarkEnd w:id="136"/>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From the points set out in Articles 8 and 9 of SFDR Regulations, as of December 31</w:t>
      </w:r>
      <w:r w:rsidRPr="00B320BE">
        <w:rPr>
          <w:rFonts w:ascii="Times New Roman" w:hAnsi="Times New Roman" w:cs="Times New Roman"/>
          <w:color w:val="000000" w:themeColor="text1"/>
          <w:sz w:val="24"/>
          <w:szCs w:val="24"/>
          <w:vertAlign w:val="superscript"/>
        </w:rPr>
        <w:t>st</w:t>
      </w:r>
      <w:r w:rsidRPr="00B320BE">
        <w:rPr>
          <w:rFonts w:ascii="Times New Roman" w:hAnsi="Times New Roman" w:cs="Times New Roman"/>
          <w:color w:val="000000" w:themeColor="text1"/>
          <w:sz w:val="24"/>
          <w:szCs w:val="24"/>
        </w:rPr>
        <w:t>,2022, it follows that Fideuram asset management SGR together with Fideuram asset value Management (Ireland ) has had 46.4 billion euros worth of assets under management with a total number of products amounting In detail, out of the total 183 funds (26.6bn euro) representing a share amounting to approximately 61% from across all Funds’ combined assets, thereof ESG funds could be identified in respect of Art 8 and four categorized funds by</w:t>
      </w:r>
      <w:r w:rsidR="00FD426E" w:rsidRPr="00B320BE">
        <w:rPr>
          <w:rFonts w:ascii="Times New Roman" w:hAnsi="Times New Roman" w:cs="Times New Roman"/>
          <w:color w:val="000000" w:themeColor="text1"/>
          <w:sz w:val="24"/>
          <w:szCs w:val="24"/>
        </w:rPr>
        <w:t xml:space="preserve"> Art. 9 of the SFDR Regulation (Intesa Sanpaolo, 2023a).</w:t>
      </w:r>
    </w:p>
    <w:p w:rsidR="004460AC" w:rsidRPr="00B320BE" w:rsidRDefault="004460AC"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37" w:name="_Toc156676311"/>
      <w:r w:rsidRPr="00B320BE">
        <w:rPr>
          <w:rFonts w:ascii="Times New Roman" w:hAnsi="Times New Roman" w:cs="Times New Roman"/>
          <w:b/>
          <w:i w:val="0"/>
          <w:color w:val="000000" w:themeColor="text1"/>
          <w:sz w:val="24"/>
          <w:szCs w:val="24"/>
        </w:rPr>
        <w:t>Risk and Impact Analysis</w:t>
      </w:r>
      <w:bookmarkEnd w:id="137"/>
    </w:p>
    <w:p w:rsid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 the Sustainable Investments and Insurance Report, the Company has recognized macro-level issues.</w:t>
      </w:r>
    </w:p>
    <w:p w:rsidR="00776B98" w:rsidRPr="00B320BE" w:rsidRDefault="00776B98" w:rsidP="00B320BE">
      <w:pPr>
        <w:spacing w:line="360" w:lineRule="auto"/>
        <w:jc w:val="both"/>
        <w:rPr>
          <w:rFonts w:ascii="Times New Roman" w:hAnsi="Times New Roman" w:cs="Times New Roman"/>
          <w:color w:val="000000" w:themeColor="text1"/>
          <w:sz w:val="24"/>
          <w:szCs w:val="24"/>
        </w:rPr>
      </w:pPr>
    </w:p>
    <w:p w:rsidR="00B320BE" w:rsidRPr="00776B98" w:rsidRDefault="00B320BE" w:rsidP="00B320BE">
      <w:pPr>
        <w:pStyle w:val="Caption"/>
        <w:keepNext/>
        <w:rPr>
          <w:rFonts w:ascii="Times New Roman" w:hAnsi="Times New Roman" w:cs="Times New Roman"/>
          <w:b/>
          <w:i w:val="0"/>
          <w:color w:val="000000" w:themeColor="text1"/>
          <w:sz w:val="24"/>
        </w:rPr>
      </w:pPr>
      <w:bookmarkStart w:id="138" w:name="_Toc156846129"/>
      <w:r w:rsidRPr="00776B98">
        <w:rPr>
          <w:rFonts w:ascii="Times New Roman" w:hAnsi="Times New Roman" w:cs="Times New Roman"/>
          <w:b/>
          <w:i w:val="0"/>
          <w:color w:val="000000" w:themeColor="text1"/>
          <w:sz w:val="24"/>
        </w:rPr>
        <w:t xml:space="preserve">Table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Table \* ARABIC </w:instrText>
      </w:r>
      <w:r w:rsidRPr="00776B98">
        <w:rPr>
          <w:rFonts w:ascii="Times New Roman" w:hAnsi="Times New Roman" w:cs="Times New Roman"/>
          <w:b/>
          <w:i w:val="0"/>
          <w:color w:val="000000" w:themeColor="text1"/>
          <w:sz w:val="24"/>
        </w:rPr>
        <w:fldChar w:fldCharType="separate"/>
      </w:r>
      <w:r w:rsidR="00776B98">
        <w:rPr>
          <w:rFonts w:ascii="Times New Roman" w:hAnsi="Times New Roman" w:cs="Times New Roman"/>
          <w:b/>
          <w:i w:val="0"/>
          <w:noProof/>
          <w:color w:val="000000" w:themeColor="text1"/>
          <w:sz w:val="24"/>
        </w:rPr>
        <w:t>1</w:t>
      </w:r>
      <w:r w:rsidRPr="00776B98">
        <w:rPr>
          <w:rFonts w:ascii="Times New Roman" w:hAnsi="Times New Roman" w:cs="Times New Roman"/>
          <w:b/>
          <w:i w:val="0"/>
          <w:color w:val="000000" w:themeColor="text1"/>
          <w:sz w:val="24"/>
        </w:rPr>
        <w:fldChar w:fldCharType="end"/>
      </w:r>
      <w:r w:rsidRPr="00776B98">
        <w:rPr>
          <w:rFonts w:ascii="Times New Roman" w:hAnsi="Times New Roman" w:cs="Times New Roman"/>
          <w:b/>
          <w:i w:val="0"/>
          <w:color w:val="000000" w:themeColor="text1"/>
          <w:sz w:val="24"/>
        </w:rPr>
        <w:t>:</w:t>
      </w:r>
      <w:bookmarkEnd w:id="138"/>
    </w:p>
    <w:p w:rsidR="00776B98" w:rsidRPr="00776B98" w:rsidRDefault="00776B98" w:rsidP="00776B98"/>
    <w:tbl>
      <w:tblPr>
        <w:tblStyle w:val="GridTable1Light-Accent1"/>
        <w:tblW w:w="9445" w:type="dxa"/>
        <w:tblLook w:val="04A0" w:firstRow="1" w:lastRow="0" w:firstColumn="1" w:lastColumn="0" w:noHBand="0" w:noVBand="1"/>
      </w:tblPr>
      <w:tblGrid>
        <w:gridCol w:w="1705"/>
        <w:gridCol w:w="1440"/>
        <w:gridCol w:w="3510"/>
        <w:gridCol w:w="2790"/>
      </w:tblGrid>
      <w:tr w:rsidR="00B320BE" w:rsidRPr="00B320BE" w:rsidTr="00FE38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Macro Issue</w:t>
            </w:r>
          </w:p>
        </w:tc>
        <w:tc>
          <w:tcPr>
            <w:tcW w:w="1440" w:type="dxa"/>
          </w:tcPr>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Project/ Indicator </w:t>
            </w:r>
          </w:p>
        </w:tc>
        <w:tc>
          <w:tcPr>
            <w:tcW w:w="3510" w:type="dxa"/>
          </w:tcPr>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2022 Actions/Results </w:t>
            </w:r>
          </w:p>
        </w:tc>
        <w:tc>
          <w:tcPr>
            <w:tcW w:w="2790" w:type="dxa"/>
          </w:tcPr>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Plan Objectives for 2025 </w:t>
            </w:r>
          </w:p>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Cumulative Value 2022-25</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705" w:type="dxa"/>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 xml:space="preserve">Sustainable Investments and Insurance </w:t>
            </w:r>
          </w:p>
        </w:tc>
        <w:tc>
          <w:tcPr>
            <w:tcW w:w="144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Funds according to SFDR</w:t>
            </w:r>
          </w:p>
        </w:tc>
        <w:tc>
          <w:tcPr>
            <w:tcW w:w="351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There are 232 products on offer in all the asset classes that have an environmental or social focus, greater emphasis pf sustainability, and sustainable investment goals from Eurizon as per Articles 8 and 9 of SFDR with total assets under management of around of110 billion euros constituting o</w:t>
            </w:r>
            <w:r w:rsidR="00F96344" w:rsidRPr="00B320BE">
              <w:rPr>
                <w:rFonts w:ascii="Times New Roman" w:hAnsi="Times New Roman" w:cs="Times New Roman"/>
                <w:color w:val="000000" w:themeColor="text1"/>
                <w:sz w:val="24"/>
                <w:szCs w:val="24"/>
              </w:rPr>
              <w:t xml:space="preserve">ver </w:t>
            </w:r>
            <w:r w:rsidR="00F96344" w:rsidRPr="00B320BE">
              <w:rPr>
                <w:rFonts w:ascii="Times New Roman" w:hAnsi="Times New Roman" w:cs="Times New Roman"/>
                <w:color w:val="000000" w:themeColor="text1"/>
                <w:sz w:val="24"/>
                <w:szCs w:val="24"/>
              </w:rPr>
              <w:lastRenderedPageBreak/>
              <w:t>54% of total assets managed (Sarkar and Locatelli, 2018).</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 xml:space="preserve">Investments in environmental, social, and governance (ESG) goods will rise from 110 billion euros in 2021 to 156 billion euros in 2025, a 46% to 60% increase, through efforts to improve </w:t>
            </w:r>
            <w:r w:rsidRPr="00B320BE">
              <w:rPr>
                <w:rFonts w:ascii="Times New Roman" w:hAnsi="Times New Roman" w:cs="Times New Roman"/>
                <w:color w:val="000000" w:themeColor="text1"/>
                <w:sz w:val="24"/>
                <w:szCs w:val="24"/>
              </w:rPr>
              <w:lastRenderedPageBreak/>
              <w:t>the ESG offering in asset management.</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705" w:type="dxa"/>
            <w:vMerge w:val="restart"/>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lastRenderedPageBreak/>
              <w:t>Sustainable Investments and Insurance</w:t>
            </w:r>
          </w:p>
        </w:tc>
        <w:tc>
          <w:tcPr>
            <w:tcW w:w="144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Funds according to SFDR</w:t>
            </w:r>
          </w:p>
        </w:tc>
        <w:tc>
          <w:tcPr>
            <w:tcW w:w="351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 significant increase from 3 billion euros in 2021, Fideuram now offers 81 funds classified according to Articles 8 and 9 of SFDR, with a total of 26.6 billion euros in assets (61% of the funds managed). This demonstrates Fideuram's dedication to fund development and conversion, which is a part of the Intesa Sanpaolo Group's wealth management strategies.</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705" w:type="dxa"/>
            <w:vMerge/>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p>
        </w:tc>
        <w:tc>
          <w:tcPr>
            <w:tcW w:w="144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351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 2022, Fideuram conducted a thorough evaluation of its advisory approach to integrate environmental, social, and governance (ESG) concepts into need-based financial planning. They also launched a training program for bankers to become ESG certified, which has already</w:t>
            </w:r>
            <w:r w:rsidR="00F96344" w:rsidRPr="00B320BE">
              <w:rPr>
                <w:rFonts w:ascii="Times New Roman" w:hAnsi="Times New Roman" w:cs="Times New Roman"/>
                <w:color w:val="000000" w:themeColor="text1"/>
                <w:sz w:val="24"/>
                <w:szCs w:val="24"/>
              </w:rPr>
              <w:t xml:space="preserve"> covered more than 51,000 hours (PERRICONE, 2017).</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Development of specialized ESG advisory services for Fideuram, including the provision of financial advisors with specialized training.</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705" w:type="dxa"/>
            <w:vMerge/>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p>
        </w:tc>
        <w:tc>
          <w:tcPr>
            <w:tcW w:w="144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Engagement Activities with Issuers</w:t>
            </w:r>
          </w:p>
        </w:tc>
        <w:tc>
          <w:tcPr>
            <w:tcW w:w="3510"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Out of 342 enterprises in Eurizon that engaged in engagement activities, 194 (or around 57% of the total) focused on </w:t>
            </w:r>
            <w:r w:rsidRPr="00B320BE">
              <w:rPr>
                <w:rFonts w:ascii="Times New Roman" w:hAnsi="Times New Roman" w:cs="Times New Roman"/>
                <w:color w:val="000000" w:themeColor="text1"/>
                <w:sz w:val="24"/>
                <w:szCs w:val="24"/>
              </w:rPr>
              <w:lastRenderedPageBreak/>
              <w:t xml:space="preserve">environmental, social, and governance (ESG) concerns.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Of the 538 engagement activities2 that Eurizon took out over time, 271 were classified as ESG. This accounted for 50% of the total engagements or 34% of the total meetings.  With a total of 47 customer-focused events (28 in-person and 19 online), the Private Banking Division attracted 11,</w:t>
            </w:r>
            <w:r w:rsidR="00F96344" w:rsidRPr="00B320BE">
              <w:rPr>
                <w:rFonts w:ascii="Times New Roman" w:hAnsi="Times New Roman" w:cs="Times New Roman"/>
                <w:color w:val="000000" w:themeColor="text1"/>
                <w:sz w:val="24"/>
                <w:szCs w:val="24"/>
              </w:rPr>
              <w:t>150 attendees (5,000 in-person) (Sarkar and Locatelli, 2018).</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Alignment of engagement initiatives with the stewardship principles for their improvement.</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705" w:type="dxa"/>
            <w:vMerge w:val="restart"/>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lastRenderedPageBreak/>
              <w:t>Sustainable Insurance</w:t>
            </w:r>
          </w:p>
        </w:tc>
        <w:tc>
          <w:tcPr>
            <w:tcW w:w="144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Unit-linked Policies</w:t>
            </w:r>
          </w:p>
        </w:tc>
        <w:tc>
          <w:tcPr>
            <w:tcW w:w="351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Articles 8 and 9 of the SFDR classify 72% of unit-linked investment alternatives associated with products that are open to new subscriptions (excluding pens</w:t>
            </w:r>
            <w:r w:rsidR="00F96344" w:rsidRPr="00B320BE">
              <w:rPr>
                <w:rFonts w:ascii="Times New Roman" w:hAnsi="Times New Roman" w:cs="Times New Roman"/>
                <w:color w:val="000000" w:themeColor="text1"/>
                <w:sz w:val="24"/>
                <w:szCs w:val="24"/>
              </w:rPr>
              <w:t>ion plans), up from 48% in 2021 (PERRICONE, 2017).</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Introduction of ESG investment options to enhance the unit-linked/multiline offering.</w:t>
            </w:r>
          </w:p>
        </w:tc>
      </w:tr>
      <w:tr w:rsidR="00B320BE" w:rsidRPr="00B320BE" w:rsidTr="00B320BE">
        <w:trPr>
          <w:trHeight w:val="1970"/>
        </w:trPr>
        <w:tc>
          <w:tcPr>
            <w:cnfStyle w:val="001000000000" w:firstRow="0" w:lastRow="0" w:firstColumn="1" w:lastColumn="0" w:oddVBand="0" w:evenVBand="0" w:oddHBand="0" w:evenHBand="0" w:firstRowFirstColumn="0" w:firstRowLastColumn="0" w:lastRowFirstColumn="0" w:lastRowLastColumn="0"/>
            <w:tcW w:w="1705" w:type="dxa"/>
            <w:vMerge/>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p>
        </w:tc>
        <w:tc>
          <w:tcPr>
            <w:tcW w:w="144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Earthquake and Flooding Insurance Cover</w:t>
            </w:r>
          </w:p>
        </w:tc>
        <w:tc>
          <w:tcPr>
            <w:tcW w:w="351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value of earthquake and flood insurance coverage extended to homeowners by insurers is 33.5 billion euros.</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Enhancement of market position in the segment of non-auto damage insurance, including real estate asset protection.</w:t>
            </w:r>
          </w:p>
        </w:tc>
      </w:tr>
    </w:tbl>
    <w:p w:rsidR="004460AC" w:rsidRPr="00B320BE" w:rsidRDefault="004460AC"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Source: (INTESA SANPAOLO, 2022)</w:t>
      </w:r>
    </w:p>
    <w:p w:rsidR="004460AC" w:rsidRPr="00B320BE" w:rsidRDefault="004460AC" w:rsidP="00B320BE">
      <w:pPr>
        <w:spacing w:line="360" w:lineRule="auto"/>
        <w:jc w:val="both"/>
        <w:rPr>
          <w:rFonts w:ascii="Times New Roman" w:hAnsi="Times New Roman" w:cs="Times New Roman"/>
          <w:b/>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39" w:name="_Toc156676312"/>
      <w:r w:rsidRPr="00B320BE">
        <w:rPr>
          <w:rFonts w:ascii="Times New Roman" w:hAnsi="Times New Roman" w:cs="Times New Roman"/>
          <w:b/>
          <w:i w:val="0"/>
          <w:color w:val="000000" w:themeColor="text1"/>
          <w:sz w:val="24"/>
          <w:szCs w:val="24"/>
        </w:rPr>
        <w:lastRenderedPageBreak/>
        <w:t>Investment Overview and ESG Analysis</w:t>
      </w:r>
      <w:bookmarkEnd w:id="139"/>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Among other things, these products support social or environmental qualities. Another aspect of their investment strategy is selecting companies that follow outstanding corporate governance practices. These products have ESG strategies, as required by Article 8 of the European Union Regulation (EU) 2019/2088 on Disclosure about Sustainability in the Financial Services Sector ("SFDR"). The management companies responsible for their creation are Fideuram Asset Management (Ireland) and </w:t>
      </w:r>
      <w:r w:rsidR="00F96344" w:rsidRPr="00B320BE">
        <w:rPr>
          <w:rFonts w:ascii="Times New Roman" w:hAnsi="Times New Roman" w:cs="Times New Roman"/>
          <w:color w:val="000000" w:themeColor="text1"/>
          <w:sz w:val="24"/>
          <w:szCs w:val="24"/>
        </w:rPr>
        <w:t>Fideuram Asset Management (SGR) (Sarkar and Locatelli, 2018).</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Established in 2012, Fond Italia Ethical Investment is a flexible product that invests in bonds, equities, and external funds. By incorporating the principles of social and environmental responsibility (ESG) into the overall portfolio, the investment decision-making process aims to make a positive impact on people and the environment through its investments. Founded in 2018, Fond Italia Millennials Equity invests in companies with a focus on Millennials since this generation is particularly concerned about environmental, social, and governance (ESG) issues. Financial and sustainability aspects based on governance, social, and environmental issues are both necessary for investors to mak</w:t>
      </w:r>
      <w:r w:rsidR="00F96344" w:rsidRPr="00B320BE">
        <w:rPr>
          <w:rFonts w:ascii="Times New Roman" w:hAnsi="Times New Roman" w:cs="Times New Roman"/>
          <w:color w:val="000000" w:themeColor="text1"/>
          <w:sz w:val="24"/>
          <w:szCs w:val="24"/>
        </w:rPr>
        <w:t>e educated investment decisions (Carè, 2018).</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Sanpaolo invests in Omnia and GP Fideuram, many responsible investment alternatives have emerged since 2018, bringing together the pursuit of financial gain with the promotion of social and environmental causes. In 2019, GP Ego Active announced three new products: GP Ego Sustainable, GP Ego High Conviction 70, and GP Ego High Conviction 100. To further ensure compliance with ESG principles and to define essential issues related to sustainability and ethics, several solutions have been created for the Ego Personal product line, which consists of customized funds for high-level customers.</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GP mix sustainable, it employs a method for choosing financial instruments that accounts for economic and financial aspects in addition to specific sustainability concerns. Companies and countries are evaluated according to criteria that take into account their contribution to environmental protection and social advancement. The three equity categories of Fondo Pensione Fideuram (Balance, Growth, and Value) now include sustainability considerations in their investment decisions. This change took effect in 2019. To be more precise, we came up with a list of criteria to weed out business models that could harm society in some way, either because of the nature of their industry or because they don't follow the UN Global Compact's principles, </w:t>
      </w:r>
      <w:r w:rsidRPr="00B320BE">
        <w:rPr>
          <w:rFonts w:ascii="Times New Roman" w:hAnsi="Times New Roman" w:cs="Times New Roman"/>
          <w:color w:val="000000" w:themeColor="text1"/>
          <w:sz w:val="24"/>
          <w:szCs w:val="24"/>
        </w:rPr>
        <w:lastRenderedPageBreak/>
        <w:t>especially when it comes to human rights, environmental protection, fighting corr</w:t>
      </w:r>
      <w:r w:rsidR="00F96344" w:rsidRPr="00B320BE">
        <w:rPr>
          <w:rFonts w:ascii="Times New Roman" w:hAnsi="Times New Roman" w:cs="Times New Roman"/>
          <w:color w:val="000000" w:themeColor="text1"/>
          <w:sz w:val="24"/>
          <w:szCs w:val="24"/>
        </w:rPr>
        <w:t>uption, and creating employment (PERRICONE, 2017).</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Unit Linked Fideuram Vita Insieme policy's internal fund uses the Fideuram Vita Orizzonte responsible leadership technique for sustainable investing. This versatile multi-asset fund uses ESG (environmental, social, and governance) criteria to choose investments that are deemed ethical and ecologically benign. Investing in financial goods with strong criteria for environmental, social, and governance scrutiny is what the fund is all about. The eco-friendly GP Ego product is the cor</w:t>
      </w:r>
      <w:r w:rsidR="00F96344" w:rsidRPr="00B320BE">
        <w:rPr>
          <w:rFonts w:ascii="Times New Roman" w:hAnsi="Times New Roman" w:cs="Times New Roman"/>
          <w:color w:val="000000" w:themeColor="text1"/>
          <w:sz w:val="24"/>
          <w:szCs w:val="24"/>
        </w:rPr>
        <w:t>nerstone of the fund's platform (Carè, 2018).</w:t>
      </w:r>
    </w:p>
    <w:p w:rsidR="00776B98" w:rsidRDefault="004460AC" w:rsidP="00776B98">
      <w:pPr>
        <w:keepNext/>
        <w:spacing w:line="360" w:lineRule="auto"/>
        <w:jc w:val="both"/>
      </w:pPr>
      <w:r w:rsidRPr="00B320BE">
        <w:rPr>
          <w:rFonts w:ascii="Times New Roman" w:hAnsi="Times New Roman" w:cs="Times New Roman"/>
          <w:noProof/>
          <w:color w:val="000000" w:themeColor="text1"/>
          <w:sz w:val="24"/>
          <w:szCs w:val="24"/>
        </w:rPr>
        <w:drawing>
          <wp:inline distT="0" distB="0" distL="0" distR="0" wp14:anchorId="505938D9" wp14:editId="09E6B361">
            <wp:extent cx="5932805" cy="5355771"/>
            <wp:effectExtent l="0" t="0" r="10795" b="16510"/>
            <wp:docPr id="1" name="Chart 1">
              <a:extLst xmlns:a="http://schemas.openxmlformats.org/drawingml/2006/main">
                <a:ext uri="{FF2B5EF4-FFF2-40B4-BE49-F238E27FC236}">
                  <a16:creationId xmlns:a16="http://schemas.microsoft.com/office/drawing/2014/main" id="{89946597-BAD9-E591-5866-8D7752AA0F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460AC" w:rsidRPr="00776B98" w:rsidRDefault="00776B98" w:rsidP="00776B98">
      <w:pPr>
        <w:pStyle w:val="Caption"/>
        <w:jc w:val="both"/>
        <w:rPr>
          <w:rFonts w:ascii="Times New Roman" w:hAnsi="Times New Roman" w:cs="Times New Roman"/>
          <w:b/>
          <w:i w:val="0"/>
          <w:color w:val="000000" w:themeColor="text1"/>
          <w:sz w:val="36"/>
          <w:szCs w:val="24"/>
        </w:rPr>
      </w:pPr>
      <w:bookmarkStart w:id="140" w:name="_Toc156846083"/>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7</w:t>
      </w:r>
      <w:bookmarkEnd w:id="140"/>
      <w:r w:rsidRPr="00776B98">
        <w:rPr>
          <w:rFonts w:ascii="Times New Roman" w:hAnsi="Times New Roman" w:cs="Times New Roman"/>
          <w:b/>
          <w:i w:val="0"/>
          <w:color w:val="000000" w:themeColor="text1"/>
          <w:sz w:val="24"/>
        </w:rPr>
        <w:fldChar w:fldCharType="end"/>
      </w:r>
    </w:p>
    <w:p w:rsidR="004460AC" w:rsidRPr="00B320BE" w:rsidRDefault="004460AC" w:rsidP="00B320BE">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Source: (INTESA SANPAOLO, 2022)</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company focused more on the green portfolio, and they had segregated components into three sections.</w:t>
      </w:r>
    </w:p>
    <w:p w:rsidR="00FE3890" w:rsidRPr="00B320BE" w:rsidRDefault="00FE3890"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3"/>
        <w:spacing w:line="360" w:lineRule="auto"/>
        <w:jc w:val="both"/>
        <w:rPr>
          <w:rFonts w:ascii="Times New Roman" w:hAnsi="Times New Roman" w:cs="Times New Roman"/>
          <w:b/>
          <w:color w:val="000000" w:themeColor="text1"/>
        </w:rPr>
      </w:pPr>
      <w:bookmarkStart w:id="141" w:name="_Toc156676313"/>
      <w:bookmarkStart w:id="142" w:name="_Toc156846024"/>
      <w:r w:rsidRPr="00B320BE">
        <w:rPr>
          <w:rFonts w:ascii="Times New Roman" w:hAnsi="Times New Roman" w:cs="Times New Roman"/>
          <w:b/>
          <w:color w:val="000000" w:themeColor="text1"/>
        </w:rPr>
        <w:t>Nordea Bank</w:t>
      </w:r>
      <w:bookmarkEnd w:id="141"/>
      <w:bookmarkEnd w:id="142"/>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43" w:name="_Toc156676314"/>
      <w:r w:rsidRPr="00B320BE">
        <w:rPr>
          <w:rFonts w:ascii="Times New Roman" w:hAnsi="Times New Roman" w:cs="Times New Roman"/>
          <w:b/>
          <w:i w:val="0"/>
          <w:color w:val="000000" w:themeColor="text1"/>
          <w:sz w:val="24"/>
          <w:szCs w:val="24"/>
        </w:rPr>
        <w:t>ESG Metrics and Ratings</w:t>
      </w:r>
      <w:bookmarkEnd w:id="143"/>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Nordea Bank is a leading Nordic banking and financial services business with over 9 million individual customers and 500,000 corporate clients. It is also one of the main banks in Europe. The company's goal is to make a positive difference in the lives of its clients and the communities where its employees live and work by sharing the extensive expertise that has been accumulated over more than 200 years in t</w:t>
      </w:r>
      <w:r w:rsidR="00F96344" w:rsidRPr="00B320BE">
        <w:rPr>
          <w:rFonts w:ascii="Times New Roman" w:hAnsi="Times New Roman" w:cs="Times New Roman"/>
          <w:color w:val="000000" w:themeColor="text1"/>
          <w:sz w:val="24"/>
          <w:szCs w:val="24"/>
        </w:rPr>
        <w:t>he banking business</w:t>
      </w:r>
      <w:r w:rsidR="00AA5BAA" w:rsidRPr="00B320BE">
        <w:rPr>
          <w:rFonts w:ascii="Times New Roman" w:hAnsi="Times New Roman" w:cs="Times New Roman"/>
          <w:color w:val="000000" w:themeColor="text1"/>
          <w:sz w:val="24"/>
          <w:szCs w:val="24"/>
        </w:rPr>
        <w:t xml:space="preserve"> (ESG Nordea, 2023).</w:t>
      </w:r>
    </w:p>
    <w:p w:rsidR="00CF68A3" w:rsidRDefault="00CF68A3" w:rsidP="00CF68A3">
      <w:pPr>
        <w:keepNext/>
        <w:spacing w:line="360" w:lineRule="auto"/>
        <w:jc w:val="both"/>
      </w:pPr>
      <w:r w:rsidRPr="00CF68A3">
        <w:rPr>
          <w:rFonts w:ascii="Times New Roman" w:hAnsi="Times New Roman" w:cs="Times New Roman"/>
          <w:color w:val="000000" w:themeColor="text1"/>
          <w:sz w:val="24"/>
          <w:szCs w:val="24"/>
        </w:rPr>
        <w:drawing>
          <wp:inline distT="0" distB="0" distL="0" distR="0" wp14:anchorId="727C3BD8" wp14:editId="2310C2BC">
            <wp:extent cx="5942831" cy="3507475"/>
            <wp:effectExtent l="76200" t="76200" r="134620" b="131445"/>
            <wp:docPr id="27" name="Picture 27" descr="https://www.kurtosys.com/uploads/2021/08/df8c733e0726196852e0d263da1a122f/leaders_in_esg_data_visualization_nord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kurtosys.com/uploads/2021/08/df8c733e0726196852e0d263da1a122f/leaders_in_esg_data_visualization_nordea.jpg"/>
                    <pic:cNvPicPr>
                      <a:picLocks noChangeAspect="1" noChangeArrowheads="1"/>
                    </pic:cNvPicPr>
                  </pic:nvPicPr>
                  <pic:blipFill>
                    <a:blip r:embed="rId27">
                      <a:extLst>
                        <a:ext uri="{BEBA8EAE-BF5A-486C-A8C5-ECC9F3942E4B}">
                          <a14:imgProps xmlns:a14="http://schemas.microsoft.com/office/drawing/2010/main">
                            <a14:imgLayer r:embed="rId2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951607" cy="35126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E3890" w:rsidRPr="00CF68A3" w:rsidRDefault="00CF68A3" w:rsidP="00CF68A3">
      <w:pPr>
        <w:pStyle w:val="Caption"/>
        <w:rPr>
          <w:rFonts w:ascii="Times New Roman" w:hAnsi="Times New Roman" w:cs="Times New Roman"/>
          <w:b/>
          <w:i w:val="0"/>
          <w:color w:val="auto"/>
          <w:sz w:val="36"/>
          <w:szCs w:val="24"/>
        </w:rPr>
      </w:pPr>
      <w:bookmarkStart w:id="144" w:name="_Toc156846084"/>
      <w:r w:rsidRPr="00CF68A3">
        <w:rPr>
          <w:rFonts w:ascii="Times New Roman" w:hAnsi="Times New Roman" w:cs="Times New Roman"/>
          <w:b/>
          <w:i w:val="0"/>
          <w:color w:val="auto"/>
          <w:sz w:val="24"/>
        </w:rPr>
        <w:t xml:space="preserve">Figure </w:t>
      </w:r>
      <w:r w:rsidRPr="00CF68A3">
        <w:rPr>
          <w:rFonts w:ascii="Times New Roman" w:hAnsi="Times New Roman" w:cs="Times New Roman"/>
          <w:b/>
          <w:i w:val="0"/>
          <w:color w:val="auto"/>
          <w:sz w:val="24"/>
        </w:rPr>
        <w:fldChar w:fldCharType="begin"/>
      </w:r>
      <w:r w:rsidRPr="00CF68A3">
        <w:rPr>
          <w:rFonts w:ascii="Times New Roman" w:hAnsi="Times New Roman" w:cs="Times New Roman"/>
          <w:b/>
          <w:i w:val="0"/>
          <w:color w:val="auto"/>
          <w:sz w:val="24"/>
        </w:rPr>
        <w:instrText xml:space="preserve"> SEQ Figure \* ARABIC </w:instrText>
      </w:r>
      <w:r w:rsidRPr="00CF68A3">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8</w:t>
      </w:r>
      <w:bookmarkEnd w:id="144"/>
      <w:r w:rsidRPr="00CF68A3">
        <w:rPr>
          <w:rFonts w:ascii="Times New Roman" w:hAnsi="Times New Roman" w:cs="Times New Roman"/>
          <w:b/>
          <w:i w:val="0"/>
          <w:color w:val="auto"/>
          <w:sz w:val="24"/>
        </w:rPr>
        <w:fldChar w:fldCharType="end"/>
      </w:r>
    </w:p>
    <w:p w:rsidR="00CF68A3" w:rsidRPr="00B320BE" w:rsidRDefault="00CF68A3"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45" w:name="_Toc156676315"/>
      <w:r w:rsidRPr="00B320BE">
        <w:rPr>
          <w:rFonts w:ascii="Times New Roman" w:hAnsi="Times New Roman" w:cs="Times New Roman"/>
          <w:b/>
          <w:i w:val="0"/>
          <w:color w:val="000000" w:themeColor="text1"/>
          <w:sz w:val="24"/>
          <w:szCs w:val="24"/>
        </w:rPr>
        <w:lastRenderedPageBreak/>
        <w:t>Sustainable Financing Commitments</w:t>
      </w:r>
      <w:bookmarkEnd w:id="145"/>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Sustainable investing nevertheless appeared favorable in the long run, even if some investors played down their sustainability goals to cash in on the rising costs of energy. Dow Jones predicted </w:t>
      </w:r>
      <w:r w:rsidR="00AA5BAA" w:rsidRPr="00B320BE">
        <w:rPr>
          <w:rFonts w:ascii="Times New Roman" w:hAnsi="Times New Roman" w:cs="Times New Roman"/>
          <w:color w:val="000000" w:themeColor="text1"/>
          <w:sz w:val="24"/>
          <w:szCs w:val="24"/>
        </w:rPr>
        <w:t xml:space="preserve">in 2022 </w:t>
      </w:r>
      <w:r w:rsidRPr="00B320BE">
        <w:rPr>
          <w:rFonts w:ascii="Times New Roman" w:hAnsi="Times New Roman" w:cs="Times New Roman"/>
          <w:color w:val="000000" w:themeColor="text1"/>
          <w:sz w:val="24"/>
          <w:szCs w:val="24"/>
        </w:rPr>
        <w:t>that ESG investment will more than treble in the next three years in September 20223, and 66 percent of C-suite executives identified ESG spending as the key to sustained growth. Despite the challenges faced by their economy and the inevitable need to boost ESG investment, they stayed true to their mission of producing returns while also taking responsibility for their actions, whic</w:t>
      </w:r>
      <w:r w:rsidR="00AA5BAA" w:rsidRPr="00B320BE">
        <w:rPr>
          <w:rFonts w:ascii="Times New Roman" w:hAnsi="Times New Roman" w:cs="Times New Roman"/>
          <w:color w:val="000000" w:themeColor="text1"/>
          <w:sz w:val="24"/>
          <w:szCs w:val="24"/>
        </w:rPr>
        <w:t>h helped them navigate the year (Burkinshaw, 2022).</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 line with its net-zero commitment, the corporation set a target in 2021 to ensure that by 2025, eighty percent of the top 200 sources of their financed emissions will be assessed as Paris-aligned or will have taken steps to become so. This objective is set to reach 100% by 2030. To inform the Top 200 emitters about the company's expectations for Paris alignment, a coordinated engagement push was initiated in 2022. Such an engagement is often initiated by investee enterprises with the highest level of direct exposure to one or more of the four core areas: Investing in areas like biodiversity, climate, good governance, and human rights. Two primary sustainability efforts have re</w:t>
      </w:r>
      <w:r w:rsidR="00AA5BAA" w:rsidRPr="00B320BE">
        <w:rPr>
          <w:rFonts w:ascii="Times New Roman" w:hAnsi="Times New Roman" w:cs="Times New Roman"/>
          <w:color w:val="000000" w:themeColor="text1"/>
          <w:sz w:val="24"/>
          <w:szCs w:val="24"/>
        </w:rPr>
        <w:t>ceived the company's attention (ESG Nordea, 2023).</w:t>
      </w:r>
    </w:p>
    <w:p w:rsidR="00FE3890" w:rsidRPr="00B320BE" w:rsidRDefault="00FE3890"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46" w:name="_Toc156676316"/>
      <w:r w:rsidRPr="00B320BE">
        <w:rPr>
          <w:rFonts w:ascii="Times New Roman" w:hAnsi="Times New Roman" w:cs="Times New Roman"/>
          <w:b/>
          <w:i w:val="0"/>
          <w:color w:val="000000" w:themeColor="text1"/>
          <w:sz w:val="24"/>
          <w:szCs w:val="24"/>
        </w:rPr>
        <w:t>Climate Risk Management</w:t>
      </w:r>
      <w:bookmarkEnd w:id="146"/>
    </w:p>
    <w:p w:rsidR="004460AC"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corporation raised the standard for sovereign engagement in the Collaborative Sovereign Participation on Climate Change program in 2022 by becoming a member of its advisory board. To help governments combat climate change, Principles for Responsible Investment (PRI) is managing this experimental investor endeavor. This shows that they are committed to acting on their fiduciary responsibilities by advocating for strong climate action from policymakers so that it reaches zero in a just and efficient way.</w:t>
      </w:r>
    </w:p>
    <w:p w:rsidR="00CF68A3" w:rsidRDefault="00CF68A3" w:rsidP="00B320BE">
      <w:pPr>
        <w:spacing w:line="360" w:lineRule="auto"/>
        <w:jc w:val="both"/>
        <w:rPr>
          <w:rFonts w:ascii="Times New Roman" w:hAnsi="Times New Roman" w:cs="Times New Roman"/>
          <w:color w:val="000000" w:themeColor="text1"/>
          <w:sz w:val="24"/>
          <w:szCs w:val="24"/>
        </w:rPr>
      </w:pPr>
      <w:r w:rsidRPr="00CF68A3">
        <w:rPr>
          <w:rFonts w:ascii="Times New Roman" w:hAnsi="Times New Roman" w:cs="Times New Roman"/>
          <w:color w:val="000000" w:themeColor="text1"/>
          <w:sz w:val="24"/>
          <w:szCs w:val="24"/>
        </w:rPr>
        <w:t>The investor group identified major sovereign issuers as the industry that may benefit most from cooperative engagement. The investment firm recognized an opportunity to initiate the campaign when the Climate Change Act was passed in Australia, which it backed (Maalahti, 2020).</w:t>
      </w:r>
    </w:p>
    <w:p w:rsidR="00CF68A3" w:rsidRDefault="00CF68A3" w:rsidP="00CF68A3">
      <w:pPr>
        <w:keepNext/>
        <w:spacing w:line="360" w:lineRule="auto"/>
        <w:jc w:val="both"/>
      </w:pPr>
      <w:r w:rsidRPr="00CF68A3">
        <w:rPr>
          <w:rFonts w:ascii="Times New Roman" w:hAnsi="Times New Roman" w:cs="Times New Roman"/>
          <w:color w:val="000000" w:themeColor="text1"/>
          <w:sz w:val="24"/>
          <w:szCs w:val="24"/>
        </w:rPr>
        <w:lastRenderedPageBreak/>
        <w:drawing>
          <wp:inline distT="0" distB="0" distL="0" distR="0" wp14:anchorId="550B641D" wp14:editId="310C80C1">
            <wp:extent cx="5940381" cy="3152632"/>
            <wp:effectExtent l="76200" t="76200" r="137160" b="124460"/>
            <wp:docPr id="28" name="Picture 28" descr="https://www.bmz.de/resource/blob/48898/03d076638d88f019d3c2fa12e374f062/bmz-crm-cycle-en-screen-rgb-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bmz.de/resource/blob/48898/03d076638d88f019d3c2fa12e374f062/bmz-crm-cycle-en-screen-rgb-data.png"/>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sharpenSoften amount="25000"/>
                              </a14:imgEffect>
                            </a14:imgLayer>
                          </a14:imgProps>
                        </a:ext>
                        <a:ext uri="{28A0092B-C50C-407E-A947-70E740481C1C}">
                          <a14:useLocalDpi xmlns:a14="http://schemas.microsoft.com/office/drawing/2010/main" val="0"/>
                        </a:ext>
                      </a:extLst>
                    </a:blip>
                    <a:srcRect t="3197" b="3624"/>
                    <a:stretch/>
                  </pic:blipFill>
                  <pic:spPr bwMode="auto">
                    <a:xfrm>
                      <a:off x="0" y="0"/>
                      <a:ext cx="5944972" cy="315506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F68A3" w:rsidRPr="00CF68A3" w:rsidRDefault="00CF68A3" w:rsidP="00CF68A3">
      <w:pPr>
        <w:pStyle w:val="Caption"/>
        <w:jc w:val="both"/>
        <w:rPr>
          <w:rFonts w:ascii="Times New Roman" w:hAnsi="Times New Roman" w:cs="Times New Roman"/>
          <w:b/>
          <w:i w:val="0"/>
          <w:color w:val="auto"/>
          <w:sz w:val="36"/>
          <w:szCs w:val="24"/>
        </w:rPr>
      </w:pPr>
      <w:bookmarkStart w:id="147" w:name="_Toc156846085"/>
      <w:r w:rsidRPr="00CF68A3">
        <w:rPr>
          <w:rFonts w:ascii="Times New Roman" w:hAnsi="Times New Roman" w:cs="Times New Roman"/>
          <w:b/>
          <w:i w:val="0"/>
          <w:color w:val="auto"/>
          <w:sz w:val="24"/>
        </w:rPr>
        <w:t xml:space="preserve">Figure </w:t>
      </w:r>
      <w:r w:rsidRPr="00CF68A3">
        <w:rPr>
          <w:rFonts w:ascii="Times New Roman" w:hAnsi="Times New Roman" w:cs="Times New Roman"/>
          <w:b/>
          <w:i w:val="0"/>
          <w:color w:val="auto"/>
          <w:sz w:val="24"/>
        </w:rPr>
        <w:fldChar w:fldCharType="begin"/>
      </w:r>
      <w:r w:rsidRPr="00CF68A3">
        <w:rPr>
          <w:rFonts w:ascii="Times New Roman" w:hAnsi="Times New Roman" w:cs="Times New Roman"/>
          <w:b/>
          <w:i w:val="0"/>
          <w:color w:val="auto"/>
          <w:sz w:val="24"/>
        </w:rPr>
        <w:instrText xml:space="preserve"> SEQ Figure \* ARABIC </w:instrText>
      </w:r>
      <w:r w:rsidRPr="00CF68A3">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9</w:t>
      </w:r>
      <w:bookmarkEnd w:id="147"/>
      <w:r w:rsidRPr="00CF68A3">
        <w:rPr>
          <w:rFonts w:ascii="Times New Roman" w:hAnsi="Times New Roman" w:cs="Times New Roman"/>
          <w:b/>
          <w:i w:val="0"/>
          <w:color w:val="auto"/>
          <w:sz w:val="24"/>
        </w:rPr>
        <w:fldChar w:fldCharType="end"/>
      </w:r>
    </w:p>
    <w:p w:rsidR="00FE3890" w:rsidRPr="00B320BE" w:rsidRDefault="00FE3890"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48" w:name="_Toc156676317"/>
      <w:r w:rsidRPr="00B320BE">
        <w:rPr>
          <w:rFonts w:ascii="Times New Roman" w:hAnsi="Times New Roman" w:cs="Times New Roman"/>
          <w:b/>
          <w:i w:val="0"/>
          <w:color w:val="000000" w:themeColor="text1"/>
          <w:sz w:val="24"/>
          <w:szCs w:val="24"/>
        </w:rPr>
        <w:t>Investment Strategies</w:t>
      </w:r>
      <w:bookmarkEnd w:id="148"/>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Along with twenty other prominent investors and their representatives, the firm joined the Investor Initiative on Hazardous Chemicals in 2022, managing assets worth more than US$10 trillion. The objective of this investor-led initiative is to encourage accountability and encourage chemical companies to stop creating compounds with prolonged lifespans. The purpose of the IIHC is to reduce exposure to harmful substances and the financial risks associated with them. The business urged chemical manufacturers to increase transparency, by providing the entire list and production quantities of all hazardous chemicals manufactured globally. Secondly, to make permanent chemical phase-out plans public with provided deadlines, and collaborate with ChemSec to enhance ChemScore and communicate relevant information </w:t>
      </w:r>
      <w:r w:rsidR="00AA5BAA" w:rsidRPr="00B320BE">
        <w:rPr>
          <w:rFonts w:ascii="Times New Roman" w:hAnsi="Times New Roman" w:cs="Times New Roman"/>
          <w:color w:val="000000" w:themeColor="text1"/>
          <w:sz w:val="24"/>
          <w:szCs w:val="24"/>
        </w:rPr>
        <w:t>(ChemSec, 2023).</w:t>
      </w:r>
    </w:p>
    <w:p w:rsidR="00FE3890" w:rsidRPr="00B320BE" w:rsidRDefault="00FE3890"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49" w:name="_Toc156676318"/>
      <w:r w:rsidRPr="00B320BE">
        <w:rPr>
          <w:rFonts w:ascii="Times New Roman" w:hAnsi="Times New Roman" w:cs="Times New Roman"/>
          <w:b/>
          <w:i w:val="0"/>
          <w:color w:val="000000" w:themeColor="text1"/>
          <w:sz w:val="24"/>
          <w:szCs w:val="24"/>
        </w:rPr>
        <w:t>Comparative ESG Analysis</w:t>
      </w:r>
      <w:bookmarkEnd w:id="149"/>
      <w:r w:rsidRPr="00B320BE">
        <w:rPr>
          <w:rFonts w:ascii="Times New Roman" w:hAnsi="Times New Roman" w:cs="Times New Roman"/>
          <w:b/>
          <w:i w:val="0"/>
          <w:color w:val="000000" w:themeColor="text1"/>
          <w:sz w:val="24"/>
          <w:szCs w:val="24"/>
        </w:rPr>
        <w:t xml:space="preserve"> </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There are several different types of environmental, social, and governance (ESG) risks associated with Nordea Investment Management AB (NIM) (Nordea, 2023). When environmental concerns, </w:t>
      </w:r>
      <w:r w:rsidRPr="00B320BE">
        <w:rPr>
          <w:rFonts w:ascii="Times New Roman" w:hAnsi="Times New Roman" w:cs="Times New Roman"/>
          <w:color w:val="000000" w:themeColor="text1"/>
          <w:sz w:val="24"/>
          <w:szCs w:val="24"/>
        </w:rPr>
        <w:lastRenderedPageBreak/>
        <w:t xml:space="preserve">including climate change, have a detrimental effect on NIM, its counterparties, or invested assets, this is known as an environmental risk. This risk might lead to an undesirable financial outcome. Then social risk refers to the potential for monetary loss due to existing or future effects of social variables, such as people's and communities' rights, welfare, and interests. Fair working conditions, social protection, and gender equality are all part of this.  Executive leadership, auditing, internal controls, tax evasion, board independence, shareholder rights, corruption, bribery, and any other governance-related issues pose a risk to a company's financial well-being. </w:t>
      </w:r>
    </w:p>
    <w:p w:rsidR="00776B98" w:rsidRDefault="004460AC" w:rsidP="00776B98">
      <w:pPr>
        <w:keepNext/>
        <w:spacing w:line="360" w:lineRule="auto"/>
        <w:jc w:val="both"/>
      </w:pPr>
      <w:r w:rsidRPr="00B320BE">
        <w:rPr>
          <w:rFonts w:ascii="Times New Roman" w:hAnsi="Times New Roman" w:cs="Times New Roman"/>
          <w:noProof/>
          <w:color w:val="000000" w:themeColor="text1"/>
          <w:sz w:val="24"/>
          <w:szCs w:val="24"/>
        </w:rPr>
        <w:drawing>
          <wp:inline distT="0" distB="0" distL="0" distR="0" wp14:anchorId="47B44C3F" wp14:editId="6ADDE872">
            <wp:extent cx="5964555" cy="4585648"/>
            <wp:effectExtent l="0" t="0" r="17145" b="5715"/>
            <wp:docPr id="2" name="Chart 2">
              <a:extLst xmlns:a="http://schemas.openxmlformats.org/drawingml/2006/main">
                <a:ext uri="{FF2B5EF4-FFF2-40B4-BE49-F238E27FC236}">
                  <a16:creationId xmlns:a16="http://schemas.microsoft.com/office/drawing/2014/main" id="{96196DC1-A15B-B624-4347-B27BBB760D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4460AC" w:rsidRPr="00776B98" w:rsidRDefault="00776B98" w:rsidP="00776B98">
      <w:pPr>
        <w:pStyle w:val="Caption"/>
        <w:jc w:val="both"/>
        <w:rPr>
          <w:rFonts w:ascii="Times New Roman" w:hAnsi="Times New Roman" w:cs="Times New Roman"/>
          <w:b/>
          <w:i w:val="0"/>
          <w:color w:val="000000" w:themeColor="text1"/>
          <w:sz w:val="36"/>
          <w:szCs w:val="24"/>
        </w:rPr>
      </w:pPr>
      <w:bookmarkStart w:id="150" w:name="_Toc156846086"/>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10</w:t>
      </w:r>
      <w:bookmarkEnd w:id="150"/>
      <w:r w:rsidRPr="00776B98">
        <w:rPr>
          <w:rFonts w:ascii="Times New Roman" w:hAnsi="Times New Roman" w:cs="Times New Roman"/>
          <w:b/>
          <w:i w:val="0"/>
          <w:color w:val="000000" w:themeColor="text1"/>
          <w:sz w:val="24"/>
        </w:rPr>
        <w:fldChar w:fldCharType="end"/>
      </w:r>
    </w:p>
    <w:p w:rsidR="004460AC" w:rsidRPr="00B320BE" w:rsidRDefault="004460AC" w:rsidP="00B320BE">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Source: (Nordea, 2022)</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Nordea Climate Action Report 2022 states that the corporation has set a goal of reducing its investments in listed equities and corporate bonds by half by 2030. The weighted average carbon intensity was 23%</w:t>
      </w:r>
      <w:r w:rsidR="00AA5BAA" w:rsidRPr="00B320BE">
        <w:rPr>
          <w:rFonts w:ascii="Times New Roman" w:hAnsi="Times New Roman" w:cs="Times New Roman"/>
          <w:color w:val="000000" w:themeColor="text1"/>
          <w:sz w:val="24"/>
          <w:szCs w:val="24"/>
        </w:rPr>
        <w:t xml:space="preserve"> lower in 2022 compared to 2019 (Sorrentino, 2023).</w:t>
      </w:r>
    </w:p>
    <w:p w:rsidR="00FE3890" w:rsidRPr="00B320BE" w:rsidRDefault="00FE3890"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3"/>
        <w:spacing w:line="360" w:lineRule="auto"/>
        <w:jc w:val="both"/>
        <w:rPr>
          <w:rFonts w:ascii="Times New Roman" w:hAnsi="Times New Roman" w:cs="Times New Roman"/>
          <w:b/>
          <w:color w:val="000000" w:themeColor="text1"/>
        </w:rPr>
      </w:pPr>
      <w:bookmarkStart w:id="151" w:name="_Toc156676319"/>
      <w:bookmarkStart w:id="152" w:name="_Toc156846025"/>
      <w:r w:rsidRPr="00B320BE">
        <w:rPr>
          <w:rFonts w:ascii="Times New Roman" w:hAnsi="Times New Roman" w:cs="Times New Roman"/>
          <w:b/>
          <w:color w:val="000000" w:themeColor="text1"/>
        </w:rPr>
        <w:t>ING Group</w:t>
      </w:r>
      <w:bookmarkEnd w:id="151"/>
      <w:bookmarkEnd w:id="152"/>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53" w:name="_Toc156676320"/>
      <w:r w:rsidRPr="00B320BE">
        <w:rPr>
          <w:rFonts w:ascii="Times New Roman" w:hAnsi="Times New Roman" w:cs="Times New Roman"/>
          <w:b/>
          <w:i w:val="0"/>
          <w:color w:val="000000" w:themeColor="text1"/>
          <w:sz w:val="24"/>
          <w:szCs w:val="24"/>
        </w:rPr>
        <w:t>Overview of ING's ESG Approach</w:t>
      </w:r>
      <w:bookmarkEnd w:id="153"/>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ING is a European-based global bank. It is estimated that over 37 million customers, corporate clients, and financial institutions are served by more than 60 thousand employees worldwide in many countries above forty. The objective of the company is to give people what they re</w:t>
      </w:r>
      <w:r w:rsidR="00AA5BAA" w:rsidRPr="00B320BE">
        <w:rPr>
          <w:rFonts w:ascii="Times New Roman" w:hAnsi="Times New Roman" w:cs="Times New Roman"/>
          <w:color w:val="000000" w:themeColor="text1"/>
          <w:sz w:val="24"/>
          <w:szCs w:val="24"/>
        </w:rPr>
        <w:t>quire for their worldly success (ING.com, 2023)</w:t>
      </w:r>
      <w:r w:rsidR="00C9053A" w:rsidRPr="00B320BE">
        <w:rPr>
          <w:rFonts w:ascii="Times New Roman" w:hAnsi="Times New Roman" w:cs="Times New Roman"/>
          <w:color w:val="000000" w:themeColor="text1"/>
          <w:sz w:val="24"/>
          <w:szCs w:val="24"/>
        </w:rPr>
        <w:t>.</w:t>
      </w:r>
    </w:p>
    <w:p w:rsidR="00FD6FDA" w:rsidRDefault="00FD6FDA" w:rsidP="00FD6FDA">
      <w:pPr>
        <w:keepNext/>
        <w:spacing w:line="360" w:lineRule="auto"/>
        <w:jc w:val="both"/>
      </w:pPr>
      <w:r w:rsidRPr="00FD6FDA">
        <w:rPr>
          <w:rFonts w:ascii="Times New Roman" w:hAnsi="Times New Roman" w:cs="Times New Roman"/>
          <w:color w:val="000000" w:themeColor="text1"/>
          <w:sz w:val="24"/>
          <w:szCs w:val="24"/>
        </w:rPr>
        <w:drawing>
          <wp:inline distT="0" distB="0" distL="0" distR="0" wp14:anchorId="5E2B5C44" wp14:editId="407F8A79">
            <wp:extent cx="5942478" cy="3725839"/>
            <wp:effectExtent l="76200" t="76200" r="134620" b="141605"/>
            <wp:docPr id="29" name="Picture 29" descr="https://payspacemagazine.com/wp-content/uploads/2018/10/ING-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ayspacemagazine.com/wp-content/uploads/2018/10/ING-Group.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9745" cy="37303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D6FDA" w:rsidRPr="00FD6FDA" w:rsidRDefault="00FD6FDA" w:rsidP="00FD6FDA">
      <w:pPr>
        <w:pStyle w:val="Caption"/>
        <w:rPr>
          <w:rFonts w:ascii="Times New Roman" w:hAnsi="Times New Roman" w:cs="Times New Roman"/>
          <w:b/>
          <w:i w:val="0"/>
          <w:color w:val="auto"/>
          <w:sz w:val="36"/>
          <w:szCs w:val="24"/>
        </w:rPr>
      </w:pPr>
      <w:bookmarkStart w:id="154" w:name="_Toc156846087"/>
      <w:r w:rsidRPr="00FD6FDA">
        <w:rPr>
          <w:rFonts w:ascii="Times New Roman" w:hAnsi="Times New Roman" w:cs="Times New Roman"/>
          <w:b/>
          <w:i w:val="0"/>
          <w:color w:val="auto"/>
          <w:sz w:val="24"/>
        </w:rPr>
        <w:t xml:space="preserve">Figure </w:t>
      </w:r>
      <w:r w:rsidRPr="00FD6FDA">
        <w:rPr>
          <w:rFonts w:ascii="Times New Roman" w:hAnsi="Times New Roman" w:cs="Times New Roman"/>
          <w:b/>
          <w:i w:val="0"/>
          <w:color w:val="auto"/>
          <w:sz w:val="24"/>
        </w:rPr>
        <w:fldChar w:fldCharType="begin"/>
      </w:r>
      <w:r w:rsidRPr="00FD6FDA">
        <w:rPr>
          <w:rFonts w:ascii="Times New Roman" w:hAnsi="Times New Roman" w:cs="Times New Roman"/>
          <w:b/>
          <w:i w:val="0"/>
          <w:color w:val="auto"/>
          <w:sz w:val="24"/>
        </w:rPr>
        <w:instrText xml:space="preserve"> SEQ Figure \* ARABIC </w:instrText>
      </w:r>
      <w:r w:rsidRPr="00FD6FDA">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11</w:t>
      </w:r>
      <w:bookmarkEnd w:id="154"/>
      <w:r w:rsidRPr="00FD6FDA">
        <w:rPr>
          <w:rFonts w:ascii="Times New Roman" w:hAnsi="Times New Roman" w:cs="Times New Roman"/>
          <w:b/>
          <w:i w:val="0"/>
          <w:color w:val="auto"/>
          <w:sz w:val="24"/>
        </w:rPr>
        <w:fldChar w:fldCharType="end"/>
      </w:r>
    </w:p>
    <w:p w:rsidR="00FD6FDA" w:rsidRPr="00B320BE" w:rsidRDefault="00FD6FDA"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55" w:name="_Toc156676321"/>
      <w:r w:rsidRPr="00B320BE">
        <w:rPr>
          <w:rFonts w:ascii="Times New Roman" w:hAnsi="Times New Roman" w:cs="Times New Roman"/>
          <w:b/>
          <w:i w:val="0"/>
          <w:color w:val="000000" w:themeColor="text1"/>
          <w:sz w:val="24"/>
          <w:szCs w:val="24"/>
        </w:rPr>
        <w:t>Sustainability in Strategy</w:t>
      </w:r>
      <w:bookmarkEnd w:id="155"/>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From the point of view of sustainability, the enterprise lends and grants ‘a helping hand’ to society while going through towards a carbonless future, as well as creating innovative financial models that could assist in forming a better world. One of the ING strategy pillars is sustainability. Based on the September 2021</w:t>
      </w:r>
      <w:r w:rsidR="00AA5BAA"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SEP ESG rating by Sustainalytics, ING has a “Strong” level of </w:t>
      </w:r>
      <w:r w:rsidRPr="00B320BE">
        <w:rPr>
          <w:rFonts w:ascii="Times New Roman" w:hAnsi="Times New Roman" w:cs="Times New Roman"/>
          <w:color w:val="000000" w:themeColor="text1"/>
          <w:sz w:val="24"/>
          <w:szCs w:val="24"/>
        </w:rPr>
        <w:lastRenderedPageBreak/>
        <w:t>management of material risk. The ESG review rating for ING from S&amp;P Global Ratings was 83 ('strong') in January 2021. In December 2020, MSCI upgraded ING’s ESG rating to ‘AA’. Such sustainability and ESG index products of the leading vendors STOXX, Morningstar, and FTSE Russ</w:t>
      </w:r>
      <w:r w:rsidR="00C9053A" w:rsidRPr="00B320BE">
        <w:rPr>
          <w:rFonts w:ascii="Times New Roman" w:hAnsi="Times New Roman" w:cs="Times New Roman"/>
          <w:color w:val="000000" w:themeColor="text1"/>
          <w:sz w:val="24"/>
          <w:szCs w:val="24"/>
        </w:rPr>
        <w:t>ell include shares in ING Group (Sustainalytics, 2022).</w:t>
      </w:r>
    </w:p>
    <w:p w:rsidR="00FE3890" w:rsidRPr="00B320BE" w:rsidRDefault="00FE3890"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56" w:name="_Toc156676322"/>
      <w:r w:rsidRPr="00B320BE">
        <w:rPr>
          <w:rFonts w:ascii="Times New Roman" w:hAnsi="Times New Roman" w:cs="Times New Roman"/>
          <w:b/>
          <w:i w:val="0"/>
          <w:color w:val="000000" w:themeColor="text1"/>
          <w:sz w:val="24"/>
          <w:szCs w:val="24"/>
        </w:rPr>
        <w:t>Climate Risk and Impact Assessment</w:t>
      </w:r>
      <w:bookmarkEnd w:id="156"/>
    </w:p>
    <w:p w:rsidR="004460AC"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ING’s ability to identify climate risk factors and incorporate them into current processes of managing risks has been significantly improved. The table below lists possible impacts of climate risk on different areas by activities already taken a</w:t>
      </w:r>
      <w:r w:rsidR="00C9053A" w:rsidRPr="00B320BE">
        <w:rPr>
          <w:rFonts w:ascii="Times New Roman" w:hAnsi="Times New Roman" w:cs="Times New Roman"/>
          <w:color w:val="000000" w:themeColor="text1"/>
          <w:sz w:val="24"/>
          <w:szCs w:val="24"/>
        </w:rPr>
        <w:t>nd those planned for the future (ING Climate Report, 2022).</w:t>
      </w:r>
    </w:p>
    <w:p w:rsidR="00776B98" w:rsidRPr="00B320BE" w:rsidRDefault="00776B98" w:rsidP="00B320BE">
      <w:pPr>
        <w:spacing w:line="360" w:lineRule="auto"/>
        <w:jc w:val="both"/>
        <w:rPr>
          <w:rFonts w:ascii="Times New Roman" w:hAnsi="Times New Roman" w:cs="Times New Roman"/>
          <w:color w:val="000000" w:themeColor="text1"/>
          <w:sz w:val="24"/>
          <w:szCs w:val="24"/>
        </w:rPr>
      </w:pPr>
    </w:p>
    <w:p w:rsidR="00B320BE" w:rsidRPr="00776B98" w:rsidRDefault="00B320BE" w:rsidP="00B320BE">
      <w:pPr>
        <w:pStyle w:val="Caption"/>
        <w:keepNext/>
        <w:rPr>
          <w:rFonts w:ascii="Times New Roman" w:hAnsi="Times New Roman" w:cs="Times New Roman"/>
          <w:b/>
          <w:i w:val="0"/>
          <w:color w:val="000000" w:themeColor="text1"/>
          <w:sz w:val="24"/>
        </w:rPr>
      </w:pPr>
      <w:bookmarkStart w:id="157" w:name="_Toc156846130"/>
      <w:r w:rsidRPr="00776B98">
        <w:rPr>
          <w:rFonts w:ascii="Times New Roman" w:hAnsi="Times New Roman" w:cs="Times New Roman"/>
          <w:b/>
          <w:i w:val="0"/>
          <w:color w:val="000000" w:themeColor="text1"/>
          <w:sz w:val="24"/>
        </w:rPr>
        <w:t xml:space="preserve">Table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Table \* ARABIC </w:instrText>
      </w:r>
      <w:r w:rsidRPr="00776B98">
        <w:rPr>
          <w:rFonts w:ascii="Times New Roman" w:hAnsi="Times New Roman" w:cs="Times New Roman"/>
          <w:b/>
          <w:i w:val="0"/>
          <w:color w:val="000000" w:themeColor="text1"/>
          <w:sz w:val="24"/>
        </w:rPr>
        <w:fldChar w:fldCharType="separate"/>
      </w:r>
      <w:r w:rsidR="00776B98">
        <w:rPr>
          <w:rFonts w:ascii="Times New Roman" w:hAnsi="Times New Roman" w:cs="Times New Roman"/>
          <w:b/>
          <w:i w:val="0"/>
          <w:noProof/>
          <w:color w:val="000000" w:themeColor="text1"/>
          <w:sz w:val="24"/>
        </w:rPr>
        <w:t>2</w:t>
      </w:r>
      <w:r w:rsidRPr="00776B98">
        <w:rPr>
          <w:rFonts w:ascii="Times New Roman" w:hAnsi="Times New Roman" w:cs="Times New Roman"/>
          <w:b/>
          <w:i w:val="0"/>
          <w:color w:val="000000" w:themeColor="text1"/>
          <w:sz w:val="24"/>
        </w:rPr>
        <w:fldChar w:fldCharType="end"/>
      </w:r>
      <w:r w:rsidRPr="00776B98">
        <w:rPr>
          <w:rFonts w:ascii="Times New Roman" w:hAnsi="Times New Roman" w:cs="Times New Roman"/>
          <w:b/>
          <w:i w:val="0"/>
          <w:color w:val="000000" w:themeColor="text1"/>
          <w:sz w:val="24"/>
        </w:rPr>
        <w:t>:</w:t>
      </w:r>
      <w:bookmarkEnd w:id="157"/>
    </w:p>
    <w:p w:rsidR="00776B98" w:rsidRPr="00776B98" w:rsidRDefault="00776B98" w:rsidP="00776B98"/>
    <w:tbl>
      <w:tblPr>
        <w:tblStyle w:val="GridTable1Light-Accent1"/>
        <w:tblW w:w="0" w:type="auto"/>
        <w:tblLook w:val="04A0" w:firstRow="1" w:lastRow="0" w:firstColumn="1" w:lastColumn="0" w:noHBand="0" w:noVBand="1"/>
      </w:tblPr>
      <w:tblGrid>
        <w:gridCol w:w="1615"/>
        <w:gridCol w:w="2790"/>
        <w:gridCol w:w="2520"/>
        <w:gridCol w:w="2425"/>
      </w:tblGrid>
      <w:tr w:rsidR="00B320BE" w:rsidRPr="00B320BE" w:rsidTr="00FE38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5" w:type="dxa"/>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Risk category</w:t>
            </w:r>
          </w:p>
        </w:tc>
        <w:tc>
          <w:tcPr>
            <w:tcW w:w="2790" w:type="dxa"/>
          </w:tcPr>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Potential Effects of Climate Risk Drivers</w:t>
            </w:r>
          </w:p>
        </w:tc>
        <w:tc>
          <w:tcPr>
            <w:tcW w:w="2520" w:type="dxa"/>
          </w:tcPr>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Combating Risks</w:t>
            </w:r>
          </w:p>
        </w:tc>
        <w:tc>
          <w:tcPr>
            <w:tcW w:w="2425" w:type="dxa"/>
          </w:tcPr>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Future Steps</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9350" w:type="dxa"/>
            <w:gridSpan w:val="4"/>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Financial Risks</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615" w:type="dxa"/>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Credit</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Both physical and transition risks, which are climate change drivers, can make it harder for companies and individuals to pay back their loans as they become due. Depreciation or degradation of collateral values might result from them as well, increasing </w:t>
            </w:r>
            <w:r w:rsidRPr="00B320BE">
              <w:rPr>
                <w:rFonts w:ascii="Times New Roman" w:hAnsi="Times New Roman" w:cs="Times New Roman"/>
                <w:color w:val="000000" w:themeColor="text1"/>
                <w:sz w:val="24"/>
                <w:szCs w:val="24"/>
              </w:rPr>
              <w:lastRenderedPageBreak/>
              <w:t>loan-to-value ratios and credit losses.</w:t>
            </w:r>
          </w:p>
        </w:tc>
        <w:tc>
          <w:tcPr>
            <w:tcW w:w="2520"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 xml:space="preserve">Climate risk drivers have been added to the risk identification and assessment process and the climate risk WB sector heat map was further developed.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 pilot program involving the transport and logistics industry tested the integration of climate and </w:t>
            </w:r>
            <w:r w:rsidRPr="00B320BE">
              <w:rPr>
                <w:rFonts w:ascii="Times New Roman" w:hAnsi="Times New Roman" w:cs="Times New Roman"/>
                <w:color w:val="000000" w:themeColor="text1"/>
                <w:sz w:val="24"/>
                <w:szCs w:val="24"/>
              </w:rPr>
              <w:lastRenderedPageBreak/>
              <w:t>environmental risk assessments into the loan approval procedure in 2022, and this heat map was essential in that ef</w:t>
            </w:r>
            <w:r w:rsidR="00C9053A" w:rsidRPr="00B320BE">
              <w:rPr>
                <w:rFonts w:ascii="Times New Roman" w:hAnsi="Times New Roman" w:cs="Times New Roman"/>
                <w:color w:val="000000" w:themeColor="text1"/>
                <w:sz w:val="24"/>
                <w:szCs w:val="24"/>
              </w:rPr>
              <w:t>fort (ING Group , 2020).</w:t>
            </w:r>
          </w:p>
        </w:tc>
        <w:tc>
          <w:tcPr>
            <w:tcW w:w="2425"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Modify and implement the Climate Credit RAS with more precision.</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Retail industries can benefit from an expanded Climate Credit RAS.</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Create specific scenarios for the stress on climate-related credit and evaluate </w:t>
            </w:r>
            <w:r w:rsidRPr="00B320BE">
              <w:rPr>
                <w:rFonts w:ascii="Times New Roman" w:hAnsi="Times New Roman" w:cs="Times New Roman"/>
                <w:color w:val="000000" w:themeColor="text1"/>
                <w:sz w:val="24"/>
                <w:szCs w:val="24"/>
              </w:rPr>
              <w:lastRenderedPageBreak/>
              <w:t>their significance. Incorporate longer time horizons and broader usage of data into the C&amp;E risk analysis and roll it out to all industries.</w:t>
            </w:r>
          </w:p>
        </w:tc>
      </w:tr>
      <w:tr w:rsidR="00B320BE" w:rsidRPr="00B320BE" w:rsidTr="00FE3890">
        <w:trPr>
          <w:trHeight w:val="4940"/>
        </w:trPr>
        <w:tc>
          <w:tcPr>
            <w:cnfStyle w:val="001000000000" w:firstRow="0" w:lastRow="0" w:firstColumn="1" w:lastColumn="0" w:oddVBand="0" w:evenVBand="0" w:oddHBand="0" w:evenHBand="0" w:firstRowFirstColumn="0" w:firstRowLastColumn="0" w:lastRowFirstColumn="0" w:lastRowLastColumn="0"/>
            <w:tcW w:w="1615" w:type="dxa"/>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lastRenderedPageBreak/>
              <w:t>Market</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Income from related products at ING could take a blow if financial asset revaluations and price mismatches are caused by volatility in equities (for companies with unsustainable business models), fixed income (increased sovereign risk), commodities, and stranded assets.</w:t>
            </w:r>
          </w:p>
        </w:tc>
        <w:tc>
          <w:tcPr>
            <w:tcW w:w="2520" w:type="dxa"/>
            <w:tcBorders>
              <w:bottom w:val="single" w:sz="4" w:space="0" w:color="BDD6EE" w:themeColor="accent1" w:themeTint="66"/>
            </w:tcBorders>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drivers of C&amp;E risk have been evaluated for their materiality and incorporated into the process of identifying liquidity and m</w:t>
            </w:r>
            <w:r w:rsidR="00C9053A" w:rsidRPr="00B320BE">
              <w:rPr>
                <w:rFonts w:ascii="Times New Roman" w:hAnsi="Times New Roman" w:cs="Times New Roman"/>
                <w:color w:val="000000" w:themeColor="text1"/>
                <w:sz w:val="24"/>
                <w:szCs w:val="24"/>
              </w:rPr>
              <w:t>arket risks (ING.com, 2023).</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2425" w:type="dxa"/>
            <w:tcBorders>
              <w:bottom w:val="single" w:sz="4" w:space="0" w:color="BDD6EE" w:themeColor="accent1" w:themeTint="66"/>
            </w:tcBorders>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Make sure that liquidity and market stress scenarios include climate risk.</w:t>
            </w: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615" w:type="dxa"/>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Liquidity</w:t>
            </w:r>
          </w:p>
        </w:tc>
        <w:tc>
          <w:tcPr>
            <w:tcW w:w="2790"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availability and cost of ING's funding may fluctuate more widely as a consequence of shifting market circumstances. A shortage of affordable professional finance, more withdrawals from credit and liquidity facilities, and an increase in the outflow </w:t>
            </w:r>
            <w:r w:rsidRPr="00B320BE">
              <w:rPr>
                <w:rFonts w:ascii="Times New Roman" w:hAnsi="Times New Roman" w:cs="Times New Roman"/>
                <w:color w:val="000000" w:themeColor="text1"/>
                <w:sz w:val="24"/>
                <w:szCs w:val="24"/>
              </w:rPr>
              <w:lastRenderedPageBreak/>
              <w:t>of deposits can result from it.</w:t>
            </w:r>
          </w:p>
        </w:tc>
        <w:tc>
          <w:tcPr>
            <w:tcW w:w="2520" w:type="dxa"/>
            <w:tcBorders>
              <w:top w:val="single" w:sz="4" w:space="0" w:color="BDD6EE" w:themeColor="accent1" w:themeTint="66"/>
            </w:tcBorders>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The policies on funding and liquidity risk have been revised to incorporate C&amp;E risk factors.</w:t>
            </w: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2425" w:type="dxa"/>
            <w:tcBorders>
              <w:top w:val="single" w:sz="4" w:space="0" w:color="BDD6EE" w:themeColor="accent1" w:themeTint="66"/>
            </w:tcBorders>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Make sure that RAS accounts for climate risk in its assessments of liquidity and market risk.</w:t>
            </w: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Strategize and implement policy revisions.</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9350" w:type="dxa"/>
            <w:gridSpan w:val="4"/>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Non-financial Risks</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615" w:type="dxa"/>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Operational</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Acute or chronic physical risks pose a threat to ING's operating capabilities and customers' capacity to receive services.</w:t>
            </w:r>
          </w:p>
        </w:tc>
        <w:tc>
          <w:tcPr>
            <w:tcW w:w="2520"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capacity to recover from the effects of physical risk drivers has been incorporated into the new Business Continuity Framework.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process of identifying and assessing risks includes physical risk drivers.</w:t>
            </w:r>
          </w:p>
        </w:tc>
        <w:tc>
          <w:tcPr>
            <w:tcW w:w="2425"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To the list of risk drivers, add transition risk and evaluate it according to its materiality. </w:t>
            </w: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Create specific stress scenarios related to climate risk.</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615" w:type="dxa"/>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Compliance</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potential of adverse effects stemming from actions that do not conform to current or future climate-related rules, regulations, societal norms, and company policies and codes (such as ING's Code of Conduct).</w:t>
            </w:r>
          </w:p>
        </w:tc>
        <w:tc>
          <w:tcPr>
            <w:tcW w:w="2520"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The ING Change process and Compliance procedures, such as risk assessment, policy creation, and monitoring, were used to identify, follow up on, and apply applicable requirements.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Consideration of ESG risk, impact, and communication is a part of the Product Approval and Review Process, which includes a </w:t>
            </w:r>
            <w:r w:rsidRPr="00B320BE">
              <w:rPr>
                <w:rFonts w:ascii="Times New Roman" w:hAnsi="Times New Roman" w:cs="Times New Roman"/>
                <w:color w:val="000000" w:themeColor="text1"/>
                <w:sz w:val="24"/>
                <w:szCs w:val="24"/>
              </w:rPr>
              <w:lastRenderedPageBreak/>
              <w:t xml:space="preserve">Customer Golden Rule on ESG.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non-financial risk materiality evaluation now includes scenarios for evaluati</w:t>
            </w:r>
            <w:r w:rsidR="00C9053A" w:rsidRPr="00B320BE">
              <w:rPr>
                <w:rFonts w:ascii="Times New Roman" w:hAnsi="Times New Roman" w:cs="Times New Roman"/>
                <w:color w:val="000000" w:themeColor="text1"/>
                <w:sz w:val="24"/>
                <w:szCs w:val="24"/>
              </w:rPr>
              <w:t>ng climate risk drivers (ING Group , 2020)</w:t>
            </w:r>
          </w:p>
        </w:tc>
        <w:tc>
          <w:tcPr>
            <w:tcW w:w="2425"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Strengthening climate risk management via incorporating climate-related risks into applicable governance, policies, guidelines, and procedures as well as a compliance risk framework. Risk Appetite Statement and Compliance Cockpit should include climate risk indicators.</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9350" w:type="dxa"/>
            <w:gridSpan w:val="4"/>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Overarching Risks</w:t>
            </w:r>
          </w:p>
        </w:tc>
      </w:tr>
      <w:tr w:rsidR="00B320BE" w:rsidRPr="00B320BE" w:rsidTr="00FE3890">
        <w:tc>
          <w:tcPr>
            <w:cnfStyle w:val="001000000000" w:firstRow="0" w:lastRow="0" w:firstColumn="1" w:lastColumn="0" w:oddVBand="0" w:evenVBand="0" w:oddHBand="0" w:evenHBand="0" w:firstRowFirstColumn="0" w:firstRowLastColumn="0" w:lastRowFirstColumn="0" w:lastRowLastColumn="0"/>
            <w:tcW w:w="1615" w:type="dxa"/>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Reputational</w:t>
            </w:r>
          </w:p>
        </w:tc>
        <w:tc>
          <w:tcPr>
            <w:tcW w:w="279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Potential for stakeholders to perceive ING in an unfavorable aspect if the company fails to achieve or make enough progress toward climate-related goals.</w:t>
            </w:r>
          </w:p>
        </w:tc>
        <w:tc>
          <w:tcPr>
            <w:tcW w:w="2520"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Group Sustainability's Business Ethics team and the Environmental and Social Risk (ESR) team offer guidance to clients and transactions where the Management Board Banking (MBB) determines that there is a potential reputational risk. Only MBB or the Global Credit Committee has the authority to overturn negative ESR recommendations.</w:t>
            </w:r>
          </w:p>
        </w:tc>
        <w:tc>
          <w:tcPr>
            <w:tcW w:w="2425"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Adopt a strategy to detect, evaluate, and lessen ING's reputational risk across the board.</w:t>
            </w:r>
          </w:p>
        </w:tc>
      </w:tr>
    </w:tbl>
    <w:p w:rsidR="004460AC" w:rsidRPr="00B320BE" w:rsidRDefault="004460AC"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Source: (ING, 2023)</w:t>
      </w:r>
    </w:p>
    <w:p w:rsidR="00FE3890" w:rsidRPr="00B320BE" w:rsidRDefault="00FE3890"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58" w:name="_Toc156676323"/>
      <w:r w:rsidRPr="00B320BE">
        <w:rPr>
          <w:rFonts w:ascii="Times New Roman" w:hAnsi="Times New Roman" w:cs="Times New Roman"/>
          <w:b/>
          <w:i w:val="0"/>
          <w:color w:val="000000" w:themeColor="text1"/>
          <w:sz w:val="24"/>
          <w:szCs w:val="24"/>
        </w:rPr>
        <w:lastRenderedPageBreak/>
        <w:t>Sustainable Financing Commitments and ESG Analysis</w:t>
      </w:r>
      <w:bookmarkEnd w:id="158"/>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company has made a strong commitment to addressing finance-related emissions, which are directly linked to its lending and investing activities. By 2025, they aim to mobilize 125 billion euros' worth of sustainable financing each year. To support its clients in this transition, the company collects volumes of sustainability-linked loan products, green and social loans, green, social, and sustainability bonds, and sustainability-linked bonds. They also track their sponsored emissions and emission intensity indicators for climate reporting (ING, 2023).</w:t>
      </w:r>
    </w:p>
    <w:p w:rsidR="00776B98" w:rsidRDefault="004460AC" w:rsidP="00776B98">
      <w:pPr>
        <w:keepNext/>
        <w:spacing w:line="360" w:lineRule="auto"/>
        <w:jc w:val="both"/>
      </w:pPr>
      <w:r w:rsidRPr="00B320BE">
        <w:rPr>
          <w:rFonts w:ascii="Times New Roman" w:hAnsi="Times New Roman" w:cs="Times New Roman"/>
          <w:noProof/>
          <w:color w:val="000000" w:themeColor="text1"/>
          <w:sz w:val="24"/>
          <w:szCs w:val="24"/>
        </w:rPr>
        <w:drawing>
          <wp:inline distT="0" distB="0" distL="0" distR="0" wp14:anchorId="77F021C4" wp14:editId="524C45ED">
            <wp:extent cx="6038850" cy="4844955"/>
            <wp:effectExtent l="0" t="0" r="0" b="13335"/>
            <wp:docPr id="3" name="Chart 3">
              <a:extLst xmlns:a="http://schemas.openxmlformats.org/drawingml/2006/main">
                <a:ext uri="{FF2B5EF4-FFF2-40B4-BE49-F238E27FC236}">
                  <a16:creationId xmlns:a16="http://schemas.microsoft.com/office/drawing/2014/main" id="{03965F0C-37B4-D5BD-7732-7BC04FDED1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460AC" w:rsidRPr="00776B98" w:rsidRDefault="00776B98" w:rsidP="00776B98">
      <w:pPr>
        <w:pStyle w:val="Caption"/>
        <w:jc w:val="both"/>
        <w:rPr>
          <w:rFonts w:ascii="Times New Roman" w:hAnsi="Times New Roman" w:cs="Times New Roman"/>
          <w:b/>
          <w:i w:val="0"/>
          <w:color w:val="000000" w:themeColor="text1"/>
          <w:sz w:val="36"/>
          <w:szCs w:val="24"/>
        </w:rPr>
      </w:pPr>
      <w:bookmarkStart w:id="159" w:name="_Toc156846088"/>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12</w:t>
      </w:r>
      <w:bookmarkEnd w:id="159"/>
      <w:r w:rsidRPr="00776B98">
        <w:rPr>
          <w:rFonts w:ascii="Times New Roman" w:hAnsi="Times New Roman" w:cs="Times New Roman"/>
          <w:b/>
          <w:i w:val="0"/>
          <w:color w:val="000000" w:themeColor="text1"/>
          <w:sz w:val="24"/>
        </w:rPr>
        <w:fldChar w:fldCharType="end"/>
      </w:r>
    </w:p>
    <w:p w:rsidR="004460AC" w:rsidRPr="00B320BE" w:rsidRDefault="004460AC" w:rsidP="00B320BE">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Source: (ING, 2023)</w:t>
      </w:r>
    </w:p>
    <w:p w:rsidR="00FE3890" w:rsidRPr="00B320BE" w:rsidRDefault="00FE3890"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3"/>
        <w:spacing w:line="360" w:lineRule="auto"/>
        <w:jc w:val="both"/>
        <w:rPr>
          <w:rFonts w:ascii="Times New Roman" w:hAnsi="Times New Roman" w:cs="Times New Roman"/>
          <w:b/>
          <w:color w:val="000000" w:themeColor="text1"/>
        </w:rPr>
      </w:pPr>
      <w:bookmarkStart w:id="160" w:name="_Toc156676324"/>
      <w:bookmarkStart w:id="161" w:name="_Toc156846026"/>
      <w:r w:rsidRPr="00B320BE">
        <w:rPr>
          <w:rFonts w:ascii="Times New Roman" w:hAnsi="Times New Roman" w:cs="Times New Roman"/>
          <w:b/>
          <w:color w:val="000000" w:themeColor="text1"/>
        </w:rPr>
        <w:lastRenderedPageBreak/>
        <w:t>BNP Paribas</w:t>
      </w:r>
      <w:bookmarkEnd w:id="160"/>
      <w:bookmarkEnd w:id="161"/>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62" w:name="_Toc156676325"/>
      <w:r w:rsidRPr="00B320BE">
        <w:rPr>
          <w:rFonts w:ascii="Times New Roman" w:hAnsi="Times New Roman" w:cs="Times New Roman"/>
          <w:b/>
          <w:i w:val="0"/>
          <w:color w:val="000000" w:themeColor="text1"/>
          <w:sz w:val="24"/>
          <w:szCs w:val="24"/>
        </w:rPr>
        <w:t>BNP Paribas' Presence and Business Strategy</w:t>
      </w:r>
      <w:bookmarkEnd w:id="162"/>
    </w:p>
    <w:p w:rsidR="00FE3890"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BNP Paribas is not just the largest bank in France, but it is also a formidable player on the international stage, especially in the American and Asian markets. The company's diverse and integrated business strategy promotes close collaboration across its subsidiaries as they work together to accomplish their mission of supporting their customers, be they individuals, businesses, or institutions, as well as the world in whic</w:t>
      </w:r>
      <w:r w:rsidR="00C9053A" w:rsidRPr="00B320BE">
        <w:rPr>
          <w:rFonts w:ascii="Times New Roman" w:hAnsi="Times New Roman" w:cs="Times New Roman"/>
          <w:color w:val="000000" w:themeColor="text1"/>
          <w:sz w:val="24"/>
          <w:szCs w:val="24"/>
        </w:rPr>
        <w:t>h we all reside (Mange, 2019).</w:t>
      </w:r>
    </w:p>
    <w:p w:rsidR="00FD6FDA" w:rsidRDefault="00FD6FDA" w:rsidP="00FD6FDA">
      <w:pPr>
        <w:keepNext/>
        <w:spacing w:line="360" w:lineRule="auto"/>
        <w:jc w:val="both"/>
      </w:pPr>
      <w:r w:rsidRPr="00FD6FDA">
        <w:rPr>
          <w:rFonts w:ascii="Times New Roman" w:hAnsi="Times New Roman" w:cs="Times New Roman"/>
          <w:color w:val="000000" w:themeColor="text1"/>
          <w:sz w:val="24"/>
          <w:szCs w:val="24"/>
        </w:rPr>
        <w:drawing>
          <wp:inline distT="0" distB="0" distL="0" distR="0" wp14:anchorId="53237A53" wp14:editId="1318AB34">
            <wp:extent cx="5552482" cy="5677469"/>
            <wp:effectExtent l="76200" t="76200" r="124460" b="133350"/>
            <wp:docPr id="31" name="Picture 31" descr="https://www.duurzaam-beleggen.nl/wordpress/wp-content/uploads/2017/02/gi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duurzaam-beleggen.nl/wordpress/wp-content/uploads/2017/02/gids.jpg"/>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563491" cy="568872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D6FDA" w:rsidRPr="00FD6FDA" w:rsidRDefault="00FD6FDA" w:rsidP="00FD6FDA">
      <w:pPr>
        <w:pStyle w:val="Caption"/>
        <w:jc w:val="both"/>
        <w:rPr>
          <w:rFonts w:ascii="Times New Roman" w:hAnsi="Times New Roman" w:cs="Times New Roman"/>
          <w:b/>
          <w:i w:val="0"/>
          <w:color w:val="auto"/>
          <w:sz w:val="36"/>
          <w:szCs w:val="24"/>
        </w:rPr>
      </w:pPr>
      <w:bookmarkStart w:id="163" w:name="_Toc156846089"/>
      <w:r w:rsidRPr="00FD6FDA">
        <w:rPr>
          <w:rFonts w:ascii="Times New Roman" w:hAnsi="Times New Roman" w:cs="Times New Roman"/>
          <w:b/>
          <w:i w:val="0"/>
          <w:color w:val="auto"/>
          <w:sz w:val="24"/>
        </w:rPr>
        <w:t xml:space="preserve">Figure </w:t>
      </w:r>
      <w:r w:rsidRPr="00FD6FDA">
        <w:rPr>
          <w:rFonts w:ascii="Times New Roman" w:hAnsi="Times New Roman" w:cs="Times New Roman"/>
          <w:b/>
          <w:i w:val="0"/>
          <w:color w:val="auto"/>
          <w:sz w:val="24"/>
        </w:rPr>
        <w:fldChar w:fldCharType="begin"/>
      </w:r>
      <w:r w:rsidRPr="00FD6FDA">
        <w:rPr>
          <w:rFonts w:ascii="Times New Roman" w:hAnsi="Times New Roman" w:cs="Times New Roman"/>
          <w:b/>
          <w:i w:val="0"/>
          <w:color w:val="auto"/>
          <w:sz w:val="24"/>
        </w:rPr>
        <w:instrText xml:space="preserve"> SEQ Figure \* ARABIC </w:instrText>
      </w:r>
      <w:r w:rsidRPr="00FD6FDA">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13</w:t>
      </w:r>
      <w:bookmarkEnd w:id="163"/>
      <w:r w:rsidRPr="00FD6FDA">
        <w:rPr>
          <w:rFonts w:ascii="Times New Roman" w:hAnsi="Times New Roman" w:cs="Times New Roman"/>
          <w:b/>
          <w:i w:val="0"/>
          <w:color w:val="auto"/>
          <w:sz w:val="24"/>
        </w:rPr>
        <w:fldChar w:fldCharType="end"/>
      </w: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64" w:name="_Toc156676326"/>
      <w:r w:rsidRPr="00B320BE">
        <w:rPr>
          <w:rFonts w:ascii="Times New Roman" w:hAnsi="Times New Roman" w:cs="Times New Roman"/>
          <w:b/>
          <w:i w:val="0"/>
          <w:color w:val="000000" w:themeColor="text1"/>
          <w:sz w:val="24"/>
          <w:szCs w:val="24"/>
        </w:rPr>
        <w:lastRenderedPageBreak/>
        <w:t>Sustainable Funds Management</w:t>
      </w:r>
      <w:bookmarkEnd w:id="164"/>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Loans, advances, debt securities, and non-tradable equity instruments amounted to 459 billion euros as of December 31, 2022, constituting the Group's all reliance on non-financial corporates. Aside from conventional funds, individual customers can subscribe to responsible investing funds under their life insurance policy, shareholder savings plan, securities account, retirement savings plan, or employee savings plan. Financial advisors tailor their recommendations to clients taking into account their values, as well as their social and environmental impact objectives (e.g., healthcare for all), and the more conventional investment criteria (e.g., risk tolerance, time horizon, etc.).</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Additionally, BNP Paribas has structured its portfolio of sustainable funds into four divisions: certified funds, ESG-integration funds, sustainable theme funds, and impact funds.  Among its many open-ended funds with European domiciles and a focus on sustainable investing, BNP Paribas Asset Management was entrusted with the responsibility of overseeing 20 billion euros</w:t>
      </w:r>
      <w:r w:rsidR="00C9053A" w:rsidRPr="00B320BE">
        <w:rPr>
          <w:rFonts w:ascii="Times New Roman" w:hAnsi="Times New Roman" w:cs="Times New Roman"/>
          <w:color w:val="000000" w:themeColor="text1"/>
          <w:sz w:val="24"/>
          <w:szCs w:val="24"/>
        </w:rPr>
        <w:t xml:space="preserve"> in assets by the close of 2022 (Freitas, 2022).</w:t>
      </w:r>
    </w:p>
    <w:p w:rsidR="00B614C9" w:rsidRDefault="00B614C9"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5D4A54" w:rsidRDefault="005D4A54" w:rsidP="00B320BE">
      <w:pPr>
        <w:spacing w:line="360" w:lineRule="auto"/>
        <w:jc w:val="both"/>
        <w:rPr>
          <w:rFonts w:ascii="Times New Roman" w:hAnsi="Times New Roman" w:cs="Times New Roman"/>
          <w:noProof/>
          <w:color w:val="000000" w:themeColor="text1"/>
          <w:sz w:val="24"/>
          <w:szCs w:val="24"/>
        </w:rPr>
      </w:pPr>
    </w:p>
    <w:p w:rsidR="00FE3890" w:rsidRPr="005D4A54" w:rsidRDefault="005D4A54" w:rsidP="00B320BE">
      <w:pPr>
        <w:spacing w:line="360" w:lineRule="auto"/>
        <w:jc w:val="both"/>
        <w:rPr>
          <w:rFonts w:ascii="Times New Roman" w:hAnsi="Times New Roman" w:cs="Times New Roman"/>
          <w:noProof/>
          <w:color w:val="000000" w:themeColor="text1"/>
          <w:sz w:val="24"/>
          <w:szCs w:val="24"/>
        </w:rPr>
      </w:pPr>
      <w:r>
        <w:rPr>
          <w:noProof/>
        </w:rPr>
        <w:lastRenderedPageBreak/>
        <mc:AlternateContent>
          <mc:Choice Requires="wps">
            <w:drawing>
              <wp:anchor distT="0" distB="0" distL="114300" distR="114300" simplePos="0" relativeHeight="251668480" behindDoc="0" locked="0" layoutInCell="1" allowOverlap="1" wp14:anchorId="346CB6B1" wp14:editId="49A9851C">
                <wp:simplePos x="0" y="0"/>
                <wp:positionH relativeFrom="column">
                  <wp:posOffset>-95535</wp:posOffset>
                </wp:positionH>
                <wp:positionV relativeFrom="paragraph">
                  <wp:posOffset>5402505</wp:posOffset>
                </wp:positionV>
                <wp:extent cx="6181725" cy="635"/>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6181725" cy="635"/>
                        </a:xfrm>
                        <a:prstGeom prst="rect">
                          <a:avLst/>
                        </a:prstGeom>
                        <a:solidFill>
                          <a:prstClr val="white"/>
                        </a:solidFill>
                        <a:ln>
                          <a:noFill/>
                        </a:ln>
                      </wps:spPr>
                      <wps:txbx>
                        <w:txbxContent>
                          <w:p w:rsidR="0028176D" w:rsidRPr="00776B98" w:rsidRDefault="0028176D" w:rsidP="00776B98">
                            <w:pPr>
                              <w:pStyle w:val="Caption"/>
                              <w:rPr>
                                <w:rFonts w:ascii="Times New Roman" w:hAnsi="Times New Roman" w:cs="Times New Roman"/>
                                <w:b/>
                                <w:i w:val="0"/>
                                <w:noProof/>
                                <w:color w:val="000000" w:themeColor="text1"/>
                                <w:sz w:val="36"/>
                                <w:szCs w:val="24"/>
                              </w:rPr>
                            </w:pPr>
                            <w:bookmarkStart w:id="165" w:name="_Toc156846090"/>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14</w:t>
                            </w:r>
                            <w:bookmarkEnd w:id="165"/>
                            <w:r w:rsidRPr="00776B98">
                              <w:rPr>
                                <w:rFonts w:ascii="Times New Roman" w:hAnsi="Times New Roman" w:cs="Times New Roman"/>
                                <w:b/>
                                <w:i w:val="0"/>
                                <w:color w:val="000000" w:themeColor="text1"/>
                                <w:sz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6CB6B1" id="Text Box 12" o:spid="_x0000_s1029" type="#_x0000_t202" style="position:absolute;left:0;text-align:left;margin-left:-7.5pt;margin-top:425.4pt;width:486.75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" stroked="f">
                <v:textbox style="mso-fit-shape-to-text:t" inset="0,0,0,0">
                  <w:txbxContent>
                    <w:p w:rsidR="0028176D" w:rsidRPr="00776B98" w:rsidRDefault="0028176D" w:rsidP="00776B98">
                      <w:pPr>
                        <w:pStyle w:val="Caption"/>
                        <w:rPr>
                          <w:rFonts w:ascii="Times New Roman" w:hAnsi="Times New Roman" w:cs="Times New Roman"/>
                          <w:b/>
                          <w:i w:val="0"/>
                          <w:noProof/>
                          <w:color w:val="000000" w:themeColor="text1"/>
                          <w:sz w:val="36"/>
                          <w:szCs w:val="24"/>
                        </w:rPr>
                      </w:pPr>
                      <w:bookmarkStart w:id="166" w:name="_Toc156846090"/>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14</w:t>
                      </w:r>
                      <w:bookmarkEnd w:id="166"/>
                      <w:r w:rsidRPr="00776B98">
                        <w:rPr>
                          <w:rFonts w:ascii="Times New Roman" w:hAnsi="Times New Roman" w:cs="Times New Roman"/>
                          <w:b/>
                          <w:i w:val="0"/>
                          <w:color w:val="000000" w:themeColor="text1"/>
                          <w:sz w:val="24"/>
                        </w:rPr>
                        <w:fldChar w:fldCharType="end"/>
                      </w:r>
                    </w:p>
                  </w:txbxContent>
                </v:textbox>
                <w10:wrap type="square"/>
              </v:shape>
            </w:pict>
          </mc:Fallback>
        </mc:AlternateContent>
      </w:r>
      <w:r>
        <w:rPr>
          <w:rFonts w:ascii="Times New Roman" w:hAnsi="Times New Roman" w:cs="Times New Roman"/>
          <w:noProof/>
          <w:color w:val="000000" w:themeColor="text1"/>
          <w:sz w:val="24"/>
          <w:szCs w:val="24"/>
        </w:rPr>
        <w:drawing>
          <wp:anchor distT="0" distB="0" distL="114300" distR="114300" simplePos="0" relativeHeight="251682816" behindDoc="0" locked="0" layoutInCell="1" allowOverlap="1" wp14:anchorId="076450BA" wp14:editId="2E79A2F9">
            <wp:simplePos x="0" y="0"/>
            <wp:positionH relativeFrom="column">
              <wp:posOffset>-163830</wp:posOffset>
            </wp:positionH>
            <wp:positionV relativeFrom="paragraph">
              <wp:posOffset>0</wp:posOffset>
            </wp:positionV>
            <wp:extent cx="6181725" cy="5349875"/>
            <wp:effectExtent l="0" t="0" r="9525" b="317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81725" cy="5349875"/>
                    </a:xfrm>
                    <a:prstGeom prst="rect">
                      <a:avLst/>
                    </a:prstGeom>
                    <a:noFill/>
                  </pic:spPr>
                </pic:pic>
              </a:graphicData>
            </a:graphic>
            <wp14:sizeRelH relativeFrom="page">
              <wp14:pctWidth>0</wp14:pctWidth>
            </wp14:sizeRelH>
            <wp14:sizeRelV relativeFrom="page">
              <wp14:pctHeight>0</wp14:pctHeight>
            </wp14:sizeRelV>
          </wp:anchor>
        </w:drawing>
      </w: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67" w:name="_Toc156676327"/>
      <w:r w:rsidRPr="00B320BE">
        <w:rPr>
          <w:rFonts w:ascii="Times New Roman" w:hAnsi="Times New Roman" w:cs="Times New Roman"/>
          <w:b/>
          <w:i w:val="0"/>
          <w:color w:val="000000" w:themeColor="text1"/>
          <w:sz w:val="24"/>
          <w:szCs w:val="24"/>
        </w:rPr>
        <w:t>Climate Risk Integration</w:t>
      </w:r>
      <w:bookmarkEnd w:id="167"/>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By 2025, the Group plans to have invested 450 million euros from its funds into startups and enterprises that provide innovative solutions for environmental sustainability, fostering local development, natural capital, and social responsibility </w:t>
      </w:r>
      <w:r w:rsidR="00C9053A" w:rsidRPr="00B320BE">
        <w:rPr>
          <w:rFonts w:ascii="Times New Roman" w:hAnsi="Times New Roman" w:cs="Times New Roman"/>
          <w:color w:val="000000" w:themeColor="text1"/>
          <w:sz w:val="24"/>
          <w:szCs w:val="24"/>
        </w:rPr>
        <w:t>(BNP Paribas, 2023)</w:t>
      </w:r>
      <w:r w:rsidRPr="00B320BE">
        <w:rPr>
          <w:rFonts w:ascii="Times New Roman" w:hAnsi="Times New Roman" w:cs="Times New Roman"/>
          <w:color w:val="000000" w:themeColor="text1"/>
          <w:sz w:val="24"/>
          <w:szCs w:val="24"/>
        </w:rPr>
        <w:t>. 200 hundred million euros have been distributed to impact enterprises and startups in three categories: local economy and climate, solidarity and social activities, and natural capital. 175 million euros spent on energy and ecological transition startups, and a solar energy venture fund established by BNP Paribas with a</w:t>
      </w:r>
      <w:r w:rsidR="00C9053A" w:rsidRPr="00B320BE">
        <w:rPr>
          <w:rFonts w:ascii="Times New Roman" w:hAnsi="Times New Roman" w:cs="Times New Roman"/>
          <w:color w:val="000000" w:themeColor="text1"/>
          <w:sz w:val="24"/>
          <w:szCs w:val="24"/>
        </w:rPr>
        <w:t xml:space="preserve"> commitment of 75 million euros (L Van Meerbeck, 2023).</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noProof/>
          <w:color w:val="000000" w:themeColor="text1"/>
          <w:sz w:val="24"/>
          <w:szCs w:val="24"/>
        </w:rPr>
        <w:lastRenderedPageBreak/>
        <w:drawing>
          <wp:anchor distT="0" distB="0" distL="114300" distR="114300" simplePos="0" relativeHeight="251660288" behindDoc="0" locked="0" layoutInCell="1" allowOverlap="1" wp14:anchorId="0B6DF52A" wp14:editId="14630368">
            <wp:simplePos x="0" y="0"/>
            <wp:positionH relativeFrom="column">
              <wp:posOffset>53975</wp:posOffset>
            </wp:positionH>
            <wp:positionV relativeFrom="paragraph">
              <wp:posOffset>2401570</wp:posOffset>
            </wp:positionV>
            <wp:extent cx="6028690" cy="3780155"/>
            <wp:effectExtent l="76200" t="76200" r="124460" b="125095"/>
            <wp:wrapSquare wrapText="bothSides"/>
            <wp:docPr id="5" name="Picture 5" descr="C:\Users\admin\Downloads\66051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wnloads\6605132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28690" cy="37801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B320BE">
        <w:rPr>
          <w:rFonts w:ascii="Times New Roman" w:hAnsi="Times New Roman" w:cs="Times New Roman"/>
          <w:color w:val="000000" w:themeColor="text1"/>
          <w:sz w:val="24"/>
          <w:szCs w:val="24"/>
        </w:rPr>
        <w:t>Instead of seeing climate change risks as independent dangers, the Group sees them as potential influences on other conventional forms of risk, such as credit, operations, or market issues. Therefore, the present framework for managing conventional risks—including applicable processes, organizational structures, and governance mechanisms—must incorporate climate concerns as a risk factor. It has been an objective of BNP Paribas's risk management strategy since 2010 to incorporate climate risk drivers more fully and comprehensively. In 2021, the Group's objective was to improve this integration and to do this, a complete financial sustainabil</w:t>
      </w:r>
      <w:r w:rsidR="00C9053A" w:rsidRPr="00B320BE">
        <w:rPr>
          <w:rFonts w:ascii="Times New Roman" w:hAnsi="Times New Roman" w:cs="Times New Roman"/>
          <w:color w:val="000000" w:themeColor="text1"/>
          <w:sz w:val="24"/>
          <w:szCs w:val="24"/>
        </w:rPr>
        <w:t>ity governance was put in place (BNP Paribas, 2023).</w:t>
      </w:r>
    </w:p>
    <w:p w:rsidR="00FE3890" w:rsidRPr="00B320BE" w:rsidRDefault="005D4A54" w:rsidP="00B320BE">
      <w:pPr>
        <w:spacing w:line="360" w:lineRule="auto"/>
        <w:jc w:val="both"/>
        <w:rPr>
          <w:rFonts w:ascii="Times New Roman" w:hAnsi="Times New Roman" w:cs="Times New Roman"/>
          <w:b/>
          <w:color w:val="000000" w:themeColor="text1"/>
          <w:sz w:val="24"/>
          <w:szCs w:val="24"/>
        </w:rPr>
      </w:pPr>
      <w:r>
        <w:rPr>
          <w:noProof/>
        </w:rPr>
        <mc:AlternateContent>
          <mc:Choice Requires="wps">
            <w:drawing>
              <wp:anchor distT="0" distB="0" distL="114300" distR="114300" simplePos="0" relativeHeight="251670528" behindDoc="0" locked="0" layoutInCell="1" allowOverlap="1" wp14:anchorId="35867AA2" wp14:editId="031B6821">
                <wp:simplePos x="0" y="0"/>
                <wp:positionH relativeFrom="column">
                  <wp:posOffset>53928</wp:posOffset>
                </wp:positionH>
                <wp:positionV relativeFrom="paragraph">
                  <wp:posOffset>4347845</wp:posOffset>
                </wp:positionV>
                <wp:extent cx="6028690" cy="635"/>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6028690" cy="635"/>
                        </a:xfrm>
                        <a:prstGeom prst="rect">
                          <a:avLst/>
                        </a:prstGeom>
                        <a:solidFill>
                          <a:prstClr val="white"/>
                        </a:solidFill>
                        <a:ln>
                          <a:noFill/>
                        </a:ln>
                      </wps:spPr>
                      <wps:txbx>
                        <w:txbxContent>
                          <w:p w:rsidR="0028176D" w:rsidRPr="00776B98" w:rsidRDefault="0028176D" w:rsidP="00776B98">
                            <w:pPr>
                              <w:pStyle w:val="Caption"/>
                              <w:rPr>
                                <w:rFonts w:ascii="Times New Roman" w:hAnsi="Times New Roman" w:cs="Times New Roman"/>
                                <w:b/>
                                <w:i w:val="0"/>
                                <w:noProof/>
                                <w:color w:val="000000" w:themeColor="text1"/>
                                <w:sz w:val="36"/>
                                <w:szCs w:val="24"/>
                              </w:rPr>
                            </w:pPr>
                            <w:bookmarkStart w:id="168" w:name="_Toc156846091"/>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15</w:t>
                            </w:r>
                            <w:bookmarkEnd w:id="168"/>
                            <w:r w:rsidRPr="00776B98">
                              <w:rPr>
                                <w:rFonts w:ascii="Times New Roman" w:hAnsi="Times New Roman" w:cs="Times New Roman"/>
                                <w:b/>
                                <w:i w:val="0"/>
                                <w:color w:val="000000" w:themeColor="text1"/>
                                <w:sz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867AA2" id="Text Box 13" o:spid="_x0000_s1030" type="#_x0000_t202" style="position:absolute;left:0;text-align:left;margin-left:4.25pt;margin-top:342.35pt;width:474.7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" stroked="f">
                <v:textbox style="mso-fit-shape-to-text:t" inset="0,0,0,0">
                  <w:txbxContent>
                    <w:p w:rsidR="0028176D" w:rsidRPr="00776B98" w:rsidRDefault="0028176D" w:rsidP="00776B98">
                      <w:pPr>
                        <w:pStyle w:val="Caption"/>
                        <w:rPr>
                          <w:rFonts w:ascii="Times New Roman" w:hAnsi="Times New Roman" w:cs="Times New Roman"/>
                          <w:b/>
                          <w:i w:val="0"/>
                          <w:noProof/>
                          <w:color w:val="000000" w:themeColor="text1"/>
                          <w:sz w:val="36"/>
                          <w:szCs w:val="24"/>
                        </w:rPr>
                      </w:pPr>
                      <w:bookmarkStart w:id="169" w:name="_Toc156846091"/>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15</w:t>
                      </w:r>
                      <w:bookmarkEnd w:id="169"/>
                      <w:r w:rsidRPr="00776B98">
                        <w:rPr>
                          <w:rFonts w:ascii="Times New Roman" w:hAnsi="Times New Roman" w:cs="Times New Roman"/>
                          <w:b/>
                          <w:i w:val="0"/>
                          <w:color w:val="000000" w:themeColor="text1"/>
                          <w:sz w:val="24"/>
                        </w:rPr>
                        <w:fldChar w:fldCharType="end"/>
                      </w:r>
                    </w:p>
                  </w:txbxContent>
                </v:textbox>
                <w10:wrap type="square"/>
              </v:shape>
            </w:pict>
          </mc:Fallback>
        </mc:AlternateContent>
      </w:r>
    </w:p>
    <w:p w:rsidR="00FE3890" w:rsidRPr="00B320BE" w:rsidRDefault="000F09FB" w:rsidP="00B320BE">
      <w:pPr>
        <w:spacing w:line="360" w:lineRule="auto"/>
        <w:jc w:val="both"/>
        <w:rPr>
          <w:rFonts w:ascii="Times New Roman" w:hAnsi="Times New Roman" w:cs="Times New Roman"/>
          <w:b/>
          <w:color w:val="000000" w:themeColor="text1"/>
          <w:sz w:val="24"/>
          <w:szCs w:val="24"/>
        </w:rPr>
      </w:pPr>
      <w:r>
        <w:rPr>
          <w:noProof/>
        </w:rPr>
        <w:lastRenderedPageBreak/>
        <mc:AlternateContent>
          <mc:Choice Requires="wps">
            <w:drawing>
              <wp:anchor distT="0" distB="0" distL="114300" distR="114300" simplePos="0" relativeHeight="251672576" behindDoc="0" locked="0" layoutInCell="1" allowOverlap="1" wp14:anchorId="4D767435" wp14:editId="5454F444">
                <wp:simplePos x="0" y="0"/>
                <wp:positionH relativeFrom="column">
                  <wp:posOffset>0</wp:posOffset>
                </wp:positionH>
                <wp:positionV relativeFrom="paragraph">
                  <wp:posOffset>4162558</wp:posOffset>
                </wp:positionV>
                <wp:extent cx="6137910" cy="635"/>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6137910" cy="635"/>
                        </a:xfrm>
                        <a:prstGeom prst="rect">
                          <a:avLst/>
                        </a:prstGeom>
                        <a:solidFill>
                          <a:prstClr val="white"/>
                        </a:solidFill>
                        <a:ln>
                          <a:noFill/>
                        </a:ln>
                      </wps:spPr>
                      <wps:txbx>
                        <w:txbxContent>
                          <w:p w:rsidR="0028176D" w:rsidRPr="00776B98" w:rsidRDefault="0028176D" w:rsidP="00776B98">
                            <w:pPr>
                              <w:pStyle w:val="Caption"/>
                              <w:rPr>
                                <w:rFonts w:ascii="Times New Roman" w:hAnsi="Times New Roman" w:cs="Times New Roman"/>
                                <w:b/>
                                <w:i w:val="0"/>
                                <w:noProof/>
                                <w:color w:val="000000" w:themeColor="text1"/>
                                <w:sz w:val="36"/>
                                <w:szCs w:val="24"/>
                              </w:rPr>
                            </w:pPr>
                            <w:bookmarkStart w:id="170" w:name="_Toc156846092"/>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16</w:t>
                            </w:r>
                            <w:bookmarkEnd w:id="170"/>
                            <w:r w:rsidRPr="00776B98">
                              <w:rPr>
                                <w:rFonts w:ascii="Times New Roman" w:hAnsi="Times New Roman" w:cs="Times New Roman"/>
                                <w:b/>
                                <w:i w:val="0"/>
                                <w:color w:val="000000" w:themeColor="text1"/>
                                <w:sz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767435" id="Text Box 14" o:spid="_x0000_s1031" type="#_x0000_t202" style="position:absolute;left:0;text-align:left;margin-left:0;margin-top:327.75pt;width:483.3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" stroked="f">
                <v:textbox style="mso-fit-shape-to-text:t" inset="0,0,0,0">
                  <w:txbxContent>
                    <w:p w:rsidR="0028176D" w:rsidRPr="00776B98" w:rsidRDefault="0028176D" w:rsidP="00776B98">
                      <w:pPr>
                        <w:pStyle w:val="Caption"/>
                        <w:rPr>
                          <w:rFonts w:ascii="Times New Roman" w:hAnsi="Times New Roman" w:cs="Times New Roman"/>
                          <w:b/>
                          <w:i w:val="0"/>
                          <w:noProof/>
                          <w:color w:val="000000" w:themeColor="text1"/>
                          <w:sz w:val="36"/>
                          <w:szCs w:val="24"/>
                        </w:rPr>
                      </w:pPr>
                      <w:bookmarkStart w:id="171" w:name="_Toc156846092"/>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16</w:t>
                      </w:r>
                      <w:bookmarkEnd w:id="171"/>
                      <w:r w:rsidRPr="00776B98">
                        <w:rPr>
                          <w:rFonts w:ascii="Times New Roman" w:hAnsi="Times New Roman" w:cs="Times New Roman"/>
                          <w:b/>
                          <w:i w:val="0"/>
                          <w:color w:val="000000" w:themeColor="text1"/>
                          <w:sz w:val="24"/>
                        </w:rPr>
                        <w:fldChar w:fldCharType="end"/>
                      </w:r>
                    </w:p>
                  </w:txbxContent>
                </v:textbox>
                <w10:wrap type="square"/>
              </v:shape>
            </w:pict>
          </mc:Fallback>
        </mc:AlternateContent>
      </w:r>
      <w:r w:rsidRPr="00B320BE">
        <w:rPr>
          <w:rFonts w:ascii="Times New Roman" w:hAnsi="Times New Roman" w:cs="Times New Roman"/>
          <w:b/>
          <w:noProof/>
          <w:color w:val="000000" w:themeColor="text1"/>
          <w:sz w:val="24"/>
          <w:szCs w:val="24"/>
        </w:rPr>
        <w:drawing>
          <wp:anchor distT="0" distB="0" distL="114300" distR="114300" simplePos="0" relativeHeight="251663360" behindDoc="0" locked="0" layoutInCell="1" allowOverlap="1" wp14:anchorId="5A2BAB78" wp14:editId="585E0178">
            <wp:simplePos x="0" y="0"/>
            <wp:positionH relativeFrom="column">
              <wp:posOffset>0</wp:posOffset>
            </wp:positionH>
            <wp:positionV relativeFrom="paragraph">
              <wp:posOffset>0</wp:posOffset>
            </wp:positionV>
            <wp:extent cx="6137910" cy="403923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37910" cy="4039235"/>
                    </a:xfrm>
                    <a:prstGeom prst="rect">
                      <a:avLst/>
                    </a:prstGeom>
                    <a:noFill/>
                  </pic:spPr>
                </pic:pic>
              </a:graphicData>
            </a:graphic>
            <wp14:sizeRelH relativeFrom="page">
              <wp14:pctWidth>0</wp14:pctWidth>
            </wp14:sizeRelH>
            <wp14:sizeRelV relativeFrom="page">
              <wp14:pctHeight>0</wp14:pctHeight>
            </wp14:sizeRelV>
          </wp:anchor>
        </w:drawing>
      </w:r>
    </w:p>
    <w:p w:rsidR="00FE3890"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72" w:name="_Toc156676328"/>
      <w:r w:rsidRPr="00B320BE">
        <w:rPr>
          <w:rFonts w:ascii="Times New Roman" w:hAnsi="Times New Roman" w:cs="Times New Roman"/>
          <w:b/>
          <w:i w:val="0"/>
          <w:color w:val="000000" w:themeColor="text1"/>
          <w:sz w:val="24"/>
          <w:szCs w:val="24"/>
        </w:rPr>
        <w:t>Investment and ESG Analysis</w:t>
      </w:r>
      <w:bookmarkEnd w:id="172"/>
    </w:p>
    <w:p w:rsidR="00B614C9"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As stated in the DNSH Principle, no social or environmental objective should be significantly jeopardized by the product's sustainable investments. When making investments, the manager assured to consider the main negative effects on sustainability factors using the SFDR's adverse impact indicators and to avoid companies that don't respect their core principles, following the</w:t>
      </w:r>
      <w:r w:rsidR="00B614C9" w:rsidRPr="00B320BE">
        <w:rPr>
          <w:rFonts w:ascii="Times New Roman" w:hAnsi="Times New Roman" w:cs="Times New Roman"/>
          <w:color w:val="000000" w:themeColor="text1"/>
          <w:sz w:val="24"/>
          <w:szCs w:val="24"/>
        </w:rPr>
        <w:t xml:space="preserve"> guidelines set out by the OECD and the UN Guiding Principles on Business and Human Rights.</w:t>
      </w:r>
    </w:p>
    <w:p w:rsidR="00776B98" w:rsidRDefault="004460AC" w:rsidP="00776B98">
      <w:pPr>
        <w:keepNext/>
        <w:spacing w:line="360" w:lineRule="auto"/>
        <w:jc w:val="both"/>
      </w:pPr>
      <w:r w:rsidRPr="00B320BE">
        <w:rPr>
          <w:rFonts w:ascii="Times New Roman" w:hAnsi="Times New Roman" w:cs="Times New Roman"/>
          <w:color w:val="000000" w:themeColor="text1"/>
          <w:sz w:val="24"/>
          <w:szCs w:val="24"/>
        </w:rPr>
        <w:lastRenderedPageBreak/>
        <w:t>.</w:t>
      </w:r>
      <w:r w:rsidR="00FE3890" w:rsidRPr="00B320BE">
        <w:rPr>
          <w:rFonts w:ascii="Times New Roman" w:hAnsi="Times New Roman" w:cs="Times New Roman"/>
          <w:noProof/>
          <w:color w:val="000000" w:themeColor="text1"/>
          <w:sz w:val="24"/>
          <w:szCs w:val="24"/>
        </w:rPr>
        <w:drawing>
          <wp:inline distT="0" distB="0" distL="0" distR="0" wp14:anchorId="296B417F" wp14:editId="12BC6401">
            <wp:extent cx="5901055" cy="4572000"/>
            <wp:effectExtent l="0" t="0" r="4445" b="0"/>
            <wp:docPr id="7" name="Chart 7">
              <a:extLst xmlns:a="http://schemas.openxmlformats.org/drawingml/2006/main">
                <a:ext uri="{FF2B5EF4-FFF2-40B4-BE49-F238E27FC236}">
                  <a16:creationId xmlns:a16="http://schemas.microsoft.com/office/drawing/2014/main" id="{DCF260C0-47F6-1F6F-A715-E5CD93B5E1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460AC" w:rsidRPr="00776B98" w:rsidRDefault="00776B98" w:rsidP="00776B98">
      <w:pPr>
        <w:pStyle w:val="Caption"/>
        <w:jc w:val="both"/>
        <w:rPr>
          <w:rFonts w:ascii="Times New Roman" w:hAnsi="Times New Roman" w:cs="Times New Roman"/>
          <w:b/>
          <w:i w:val="0"/>
          <w:color w:val="000000" w:themeColor="text1"/>
          <w:sz w:val="36"/>
          <w:szCs w:val="24"/>
        </w:rPr>
      </w:pPr>
      <w:bookmarkStart w:id="173" w:name="_Toc156846093"/>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17</w:t>
      </w:r>
      <w:bookmarkEnd w:id="173"/>
      <w:r w:rsidRPr="00776B98">
        <w:rPr>
          <w:rFonts w:ascii="Times New Roman" w:hAnsi="Times New Roman" w:cs="Times New Roman"/>
          <w:b/>
          <w:i w:val="0"/>
          <w:color w:val="000000" w:themeColor="text1"/>
          <w:sz w:val="24"/>
        </w:rPr>
        <w:fldChar w:fldCharType="end"/>
      </w:r>
    </w:p>
    <w:p w:rsidR="004460AC" w:rsidRDefault="00B614C9" w:rsidP="00B320BE">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Source: (BNP Paribas, 2023)</w:t>
      </w:r>
    </w:p>
    <w:p w:rsidR="00911538" w:rsidRPr="00B320BE" w:rsidRDefault="00911538" w:rsidP="00B320BE">
      <w:pPr>
        <w:spacing w:line="360" w:lineRule="auto"/>
        <w:jc w:val="center"/>
        <w:rPr>
          <w:rFonts w:ascii="Times New Roman" w:hAnsi="Times New Roman" w:cs="Times New Roman"/>
          <w:color w:val="000000" w:themeColor="text1"/>
          <w:sz w:val="24"/>
          <w:szCs w:val="24"/>
        </w:rPr>
      </w:pPr>
    </w:p>
    <w:p w:rsidR="004460AC" w:rsidRPr="00B320BE" w:rsidRDefault="004460AC" w:rsidP="00B320BE">
      <w:pPr>
        <w:pStyle w:val="Heading3"/>
        <w:spacing w:line="360" w:lineRule="auto"/>
        <w:jc w:val="both"/>
        <w:rPr>
          <w:rFonts w:ascii="Times New Roman" w:hAnsi="Times New Roman" w:cs="Times New Roman"/>
          <w:b/>
          <w:color w:val="000000" w:themeColor="text1"/>
        </w:rPr>
      </w:pPr>
      <w:bookmarkStart w:id="174" w:name="_Toc156676329"/>
      <w:bookmarkStart w:id="175" w:name="_Toc156846027"/>
      <w:r w:rsidRPr="00B320BE">
        <w:rPr>
          <w:rFonts w:ascii="Times New Roman" w:hAnsi="Times New Roman" w:cs="Times New Roman"/>
          <w:b/>
          <w:color w:val="000000" w:themeColor="text1"/>
        </w:rPr>
        <w:t>BCO Santander</w:t>
      </w:r>
      <w:bookmarkEnd w:id="174"/>
      <w:bookmarkEnd w:id="175"/>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76" w:name="_Toc156676330"/>
      <w:r w:rsidRPr="00B320BE">
        <w:rPr>
          <w:rFonts w:ascii="Times New Roman" w:hAnsi="Times New Roman" w:cs="Times New Roman"/>
          <w:b/>
          <w:i w:val="0"/>
          <w:color w:val="000000" w:themeColor="text1"/>
          <w:sz w:val="24"/>
          <w:szCs w:val="24"/>
        </w:rPr>
        <w:t>Overview of BCO’s Approach</w:t>
      </w:r>
      <w:bookmarkEnd w:id="176"/>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Spanish multinational financial services business Santander Group focuses on retail and commercial banking; it is commonly referred to as "Santander" or the "Group" in short. Among its most important markets are those in North America, Europe, and South America, but it has substantial operations throughout several continents. There are currently 190,000 people working at Santander out of its headquarters in Madrid, Spain.</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Under the parameters of the Santander Group Green, Social, and Sustainability Funding Global Framework, Santander Group and its connected firms seek to issue bonds, loans, commercial papers, promissory notes, and deposits using proceeds related to sustainability, social responsibility, and</w:t>
      </w:r>
      <w:r w:rsidR="00C9053A" w:rsidRPr="00B320BE">
        <w:rPr>
          <w:rFonts w:ascii="Times New Roman" w:hAnsi="Times New Roman" w:cs="Times New Roman"/>
          <w:color w:val="000000" w:themeColor="text1"/>
          <w:sz w:val="24"/>
          <w:szCs w:val="24"/>
        </w:rPr>
        <w:t xml:space="preserve"> the environment (A Chatterjee, 2019).</w:t>
      </w:r>
    </w:p>
    <w:p w:rsidR="00134E6B" w:rsidRPr="00B320BE" w:rsidRDefault="00134E6B"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77" w:name="_Toc156676331"/>
      <w:r w:rsidRPr="00B320BE">
        <w:rPr>
          <w:rFonts w:ascii="Times New Roman" w:hAnsi="Times New Roman" w:cs="Times New Roman"/>
          <w:b/>
          <w:i w:val="0"/>
          <w:color w:val="000000" w:themeColor="text1"/>
          <w:sz w:val="24"/>
          <w:szCs w:val="24"/>
        </w:rPr>
        <w:t>ESG Committee Involvement</w:t>
      </w:r>
      <w:bookmarkEnd w:id="177"/>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Corporate and Investment Banking teams have helped a large number of clients from all around the globe accomplish their sustainability objectives by structuring innovative bonds and loans that connect to sustainability. By tying together social and sustainable objective pricing with key performance and sustainability indicators, these tools attempt to inspire users to establish and achieve ambitious green targets. Borrowers or issuers are either rewarded or penalized according to the achievement of sustainability targets, such as the reducti</w:t>
      </w:r>
      <w:r w:rsidR="00C9053A" w:rsidRPr="00B320BE">
        <w:rPr>
          <w:rFonts w:ascii="Times New Roman" w:hAnsi="Times New Roman" w:cs="Times New Roman"/>
          <w:color w:val="000000" w:themeColor="text1"/>
          <w:sz w:val="24"/>
          <w:szCs w:val="24"/>
        </w:rPr>
        <w:t>on of greenhouse gas emissions (Polyzoidis, 2023).</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Santander US is a member of the LSTA ESG Committee, which follows environmental, social, and governance (ESG) trends in the banking sector. Revised Green, Social, and Sustainability-Linked Loan Principles were the result of collaboration between Santander US and worldwide loan trade groups in 2022. In addition, Santander collaborated with the Banking Environment Initiative (CISL) at the University of Cambridge to produce a fresh report on financial innovation to help SMEs achieve net-zero emissions. The paper, which featured feedback from the US ESG Solutions team, emphasizes how banks and multinational organizations aid </w:t>
      </w:r>
      <w:r w:rsidR="00C9053A" w:rsidRPr="00B320BE">
        <w:rPr>
          <w:rFonts w:ascii="Times New Roman" w:hAnsi="Times New Roman" w:cs="Times New Roman"/>
          <w:color w:val="000000" w:themeColor="text1"/>
          <w:sz w:val="24"/>
          <w:szCs w:val="24"/>
        </w:rPr>
        <w:t>SMEs in achieving net-zero debt (A Chatterjee, 2019).</w:t>
      </w:r>
    </w:p>
    <w:p w:rsidR="00134E6B" w:rsidRPr="00B320BE" w:rsidRDefault="00134E6B" w:rsidP="00B320BE">
      <w:pPr>
        <w:spacing w:line="360" w:lineRule="auto"/>
        <w:jc w:val="both"/>
        <w:rPr>
          <w:rFonts w:ascii="Times New Roman" w:hAnsi="Times New Roman" w:cs="Times New Roman"/>
          <w:color w:val="000000" w:themeColor="text1"/>
          <w:sz w:val="24"/>
          <w:szCs w:val="24"/>
        </w:rPr>
      </w:pPr>
    </w:p>
    <w:p w:rsidR="00B320BE"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78" w:name="_Toc156676332"/>
      <w:r w:rsidRPr="00B320BE">
        <w:rPr>
          <w:rFonts w:ascii="Times New Roman" w:hAnsi="Times New Roman" w:cs="Times New Roman"/>
          <w:b/>
          <w:i w:val="0"/>
          <w:color w:val="000000" w:themeColor="text1"/>
          <w:sz w:val="24"/>
          <w:szCs w:val="24"/>
        </w:rPr>
        <w:t>Use of Proceeds Framework</w:t>
      </w:r>
      <w:bookmarkEnd w:id="178"/>
    </w:p>
    <w:p w:rsidR="00776B98" w:rsidRPr="00776B98" w:rsidRDefault="00776B98" w:rsidP="00776B98"/>
    <w:p w:rsidR="00B320BE" w:rsidRDefault="00B320BE" w:rsidP="00B320BE">
      <w:pPr>
        <w:pStyle w:val="Caption"/>
        <w:keepNext/>
        <w:rPr>
          <w:rFonts w:ascii="Times New Roman" w:hAnsi="Times New Roman" w:cs="Times New Roman"/>
          <w:b/>
          <w:i w:val="0"/>
          <w:color w:val="000000" w:themeColor="text1"/>
          <w:sz w:val="24"/>
        </w:rPr>
      </w:pPr>
      <w:bookmarkStart w:id="179" w:name="_Toc156846131"/>
      <w:r w:rsidRPr="00B320BE">
        <w:rPr>
          <w:rFonts w:ascii="Times New Roman" w:hAnsi="Times New Roman" w:cs="Times New Roman"/>
          <w:b/>
          <w:i w:val="0"/>
          <w:color w:val="000000" w:themeColor="text1"/>
          <w:sz w:val="24"/>
        </w:rPr>
        <w:t xml:space="preserve">Table </w:t>
      </w:r>
      <w:r w:rsidRPr="00B320BE">
        <w:rPr>
          <w:rFonts w:ascii="Times New Roman" w:hAnsi="Times New Roman" w:cs="Times New Roman"/>
          <w:b/>
          <w:i w:val="0"/>
          <w:color w:val="000000" w:themeColor="text1"/>
          <w:sz w:val="24"/>
        </w:rPr>
        <w:fldChar w:fldCharType="begin"/>
      </w:r>
      <w:r w:rsidRPr="00B320BE">
        <w:rPr>
          <w:rFonts w:ascii="Times New Roman" w:hAnsi="Times New Roman" w:cs="Times New Roman"/>
          <w:b/>
          <w:i w:val="0"/>
          <w:color w:val="000000" w:themeColor="text1"/>
          <w:sz w:val="24"/>
        </w:rPr>
        <w:instrText xml:space="preserve"> SEQ Table \* ARABIC </w:instrText>
      </w:r>
      <w:r w:rsidRPr="00B320BE">
        <w:rPr>
          <w:rFonts w:ascii="Times New Roman" w:hAnsi="Times New Roman" w:cs="Times New Roman"/>
          <w:b/>
          <w:i w:val="0"/>
          <w:color w:val="000000" w:themeColor="text1"/>
          <w:sz w:val="24"/>
        </w:rPr>
        <w:fldChar w:fldCharType="separate"/>
      </w:r>
      <w:r w:rsidR="00776B98">
        <w:rPr>
          <w:rFonts w:ascii="Times New Roman" w:hAnsi="Times New Roman" w:cs="Times New Roman"/>
          <w:b/>
          <w:i w:val="0"/>
          <w:noProof/>
          <w:color w:val="000000" w:themeColor="text1"/>
          <w:sz w:val="24"/>
        </w:rPr>
        <w:t>3</w:t>
      </w:r>
      <w:r w:rsidRPr="00B320BE">
        <w:rPr>
          <w:rFonts w:ascii="Times New Roman" w:hAnsi="Times New Roman" w:cs="Times New Roman"/>
          <w:b/>
          <w:i w:val="0"/>
          <w:color w:val="000000" w:themeColor="text1"/>
          <w:sz w:val="24"/>
        </w:rPr>
        <w:fldChar w:fldCharType="end"/>
      </w:r>
      <w:r w:rsidRPr="00B320BE">
        <w:rPr>
          <w:rFonts w:ascii="Times New Roman" w:hAnsi="Times New Roman" w:cs="Times New Roman"/>
          <w:b/>
          <w:i w:val="0"/>
          <w:color w:val="000000" w:themeColor="text1"/>
          <w:sz w:val="24"/>
        </w:rPr>
        <w:t>:</w:t>
      </w:r>
      <w:bookmarkEnd w:id="179"/>
    </w:p>
    <w:p w:rsidR="00776B98" w:rsidRPr="00776B98" w:rsidRDefault="00776B98" w:rsidP="00776B98"/>
    <w:tbl>
      <w:tblPr>
        <w:tblStyle w:val="GridTable1Light-Accent1"/>
        <w:tblW w:w="0" w:type="auto"/>
        <w:tblLook w:val="04A0" w:firstRow="1" w:lastRow="0" w:firstColumn="1" w:lastColumn="0" w:noHBand="0" w:noVBand="1"/>
      </w:tblPr>
      <w:tblGrid>
        <w:gridCol w:w="1944"/>
        <w:gridCol w:w="1856"/>
        <w:gridCol w:w="1847"/>
        <w:gridCol w:w="3703"/>
      </w:tblGrid>
      <w:tr w:rsidR="00B320BE" w:rsidRPr="00B320BE" w:rsidTr="00B320BE">
        <w:trPr>
          <w:cnfStyle w:val="100000000000" w:firstRow="1" w:lastRow="0" w:firstColumn="0" w:lastColumn="0" w:oddVBand="0" w:evenVBand="0" w:oddHBand="0"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1944" w:type="dxa"/>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Use of Proceeds</w:t>
            </w:r>
          </w:p>
        </w:tc>
        <w:tc>
          <w:tcPr>
            <w:tcW w:w="1856" w:type="dxa"/>
          </w:tcPr>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Activity</w:t>
            </w:r>
          </w:p>
        </w:tc>
        <w:tc>
          <w:tcPr>
            <w:tcW w:w="1847" w:type="dxa"/>
          </w:tcPr>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Classification</w:t>
            </w:r>
          </w:p>
        </w:tc>
        <w:tc>
          <w:tcPr>
            <w:tcW w:w="3703" w:type="dxa"/>
          </w:tcPr>
          <w:p w:rsidR="004460AC" w:rsidRPr="00B320BE" w:rsidRDefault="004460AC" w:rsidP="00B320BE">
            <w:pPr>
              <w:spacing w:after="160"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Sustainalytics’ Assessment</w:t>
            </w:r>
          </w:p>
        </w:tc>
      </w:tr>
      <w:tr w:rsidR="00B320BE" w:rsidRPr="00B320BE" w:rsidTr="00B320BE">
        <w:tc>
          <w:tcPr>
            <w:cnfStyle w:val="001000000000" w:firstRow="0" w:lastRow="0" w:firstColumn="1" w:lastColumn="0" w:oddVBand="0" w:evenVBand="0" w:oddHBand="0" w:evenHBand="0" w:firstRowFirstColumn="0" w:firstRowLastColumn="0" w:lastRowFirstColumn="0" w:lastRowLastColumn="0"/>
            <w:tcW w:w="1944" w:type="dxa"/>
            <w:vMerge w:val="restart"/>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lastRenderedPageBreak/>
              <w:t>Affordable Basic Infrastructure</w:t>
            </w:r>
          </w:p>
        </w:tc>
        <w:tc>
          <w:tcPr>
            <w:tcW w:w="1856"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Energy</w:t>
            </w:r>
          </w:p>
        </w:tc>
        <w:tc>
          <w:tcPr>
            <w:tcW w:w="1847" w:type="dxa"/>
            <w:vMerge w:val="restart"/>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Social</w:t>
            </w:r>
          </w:p>
        </w:tc>
        <w:tc>
          <w:tcPr>
            <w:tcW w:w="3703"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funding of clean, renewable energy generation and distribution lines, particularly those for essential buildings and structures for underprivileged communities, by the standards laid out under Renewable Energy. According to Sustainalytics, initiatives involving fossil fuels are not included.  The fact that these funds would go to individuals who do not have power has been further verified by Santander. Market practice is in line with this.</w:t>
            </w:r>
          </w:p>
        </w:tc>
      </w:tr>
      <w:tr w:rsidR="00B320BE" w:rsidRPr="00B320BE" w:rsidTr="00B320BE">
        <w:trPr>
          <w:trHeight w:val="1250"/>
        </w:trPr>
        <w:tc>
          <w:tcPr>
            <w:cnfStyle w:val="001000000000" w:firstRow="0" w:lastRow="0" w:firstColumn="1" w:lastColumn="0" w:oddVBand="0" w:evenVBand="0" w:oddHBand="0" w:evenHBand="0" w:firstRowFirstColumn="0" w:firstRowLastColumn="0" w:lastRowFirstColumn="0" w:lastRowLastColumn="0"/>
            <w:tcW w:w="1944" w:type="dxa"/>
            <w:vMerge/>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p>
        </w:tc>
        <w:tc>
          <w:tcPr>
            <w:tcW w:w="1856"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Transport</w:t>
            </w:r>
          </w:p>
        </w:tc>
        <w:tc>
          <w:tcPr>
            <w:tcW w:w="1847" w:type="dxa"/>
            <w:vMerge/>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3703"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Financing over ground and underground railways in underdeveloped areas. </w:t>
            </w:r>
          </w:p>
        </w:tc>
      </w:tr>
      <w:tr w:rsidR="00B320BE" w:rsidRPr="00B320BE" w:rsidTr="00B320BE">
        <w:tc>
          <w:tcPr>
            <w:cnfStyle w:val="001000000000" w:firstRow="0" w:lastRow="0" w:firstColumn="1" w:lastColumn="0" w:oddVBand="0" w:evenVBand="0" w:oddHBand="0" w:evenHBand="0" w:firstRowFirstColumn="0" w:firstRowLastColumn="0" w:lastRowFirstColumn="0" w:lastRowLastColumn="0"/>
            <w:tcW w:w="1944" w:type="dxa"/>
            <w:vMerge/>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p>
        </w:tc>
        <w:tc>
          <w:tcPr>
            <w:tcW w:w="1856"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Water and Waste Management</w:t>
            </w:r>
          </w:p>
        </w:tc>
        <w:tc>
          <w:tcPr>
            <w:tcW w:w="1847" w:type="dxa"/>
            <w:vMerge/>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3703"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Providing funding for infrastructure that serves underprivileged communities in the areas of water, sanitation, and waste management.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Projects that fall under this category may involve the following: water distribution and treatment infrastructure; sewage and wastewater treatment and collection infrastructure; and the collection, sorting, disposal, treatment, and recycling of both hazardous and non-hazardous waste.  Santander has </w:t>
            </w:r>
            <w:r w:rsidRPr="00B320BE">
              <w:rPr>
                <w:rFonts w:ascii="Times New Roman" w:hAnsi="Times New Roman" w:cs="Times New Roman"/>
                <w:color w:val="000000" w:themeColor="text1"/>
                <w:sz w:val="24"/>
                <w:szCs w:val="24"/>
              </w:rPr>
              <w:lastRenderedPageBreak/>
              <w:t>officially stated that its fossil fuel activities do not include water treatment. Market practice is in line with this.</w:t>
            </w:r>
          </w:p>
        </w:tc>
      </w:tr>
      <w:tr w:rsidR="00B320BE" w:rsidRPr="00B320BE" w:rsidTr="00B320BE">
        <w:tc>
          <w:tcPr>
            <w:cnfStyle w:val="001000000000" w:firstRow="0" w:lastRow="0" w:firstColumn="1" w:lastColumn="0" w:oddVBand="0" w:evenVBand="0" w:oddHBand="0" w:evenHBand="0" w:firstRowFirstColumn="0" w:firstRowLastColumn="0" w:lastRowFirstColumn="0" w:lastRowLastColumn="0"/>
            <w:tcW w:w="1944" w:type="dxa"/>
            <w:vMerge/>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p>
        </w:tc>
        <w:tc>
          <w:tcPr>
            <w:tcW w:w="1856"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Information and Communications Technology</w:t>
            </w:r>
          </w:p>
        </w:tc>
        <w:tc>
          <w:tcPr>
            <w:tcW w:w="1847" w:type="dxa"/>
            <w:vMerge/>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3703"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Funding for the construction and maintenance of telecommunications networks, distribution lines, and essential buildings and structures, including 5G networks, fiber optic networks, and the deployment of high-capacity networks to underserved communities. Market practice is in line with this.</w:t>
            </w:r>
          </w:p>
        </w:tc>
      </w:tr>
      <w:tr w:rsidR="00B320BE" w:rsidRPr="00B320BE" w:rsidTr="00B320BE">
        <w:tc>
          <w:tcPr>
            <w:cnfStyle w:val="001000000000" w:firstRow="0" w:lastRow="0" w:firstColumn="1" w:lastColumn="0" w:oddVBand="0" w:evenVBand="0" w:oddHBand="0" w:evenHBand="0" w:firstRowFirstColumn="0" w:firstRowLastColumn="0" w:lastRowFirstColumn="0" w:lastRowLastColumn="0"/>
            <w:tcW w:w="1944" w:type="dxa"/>
            <w:vMerge w:val="restart"/>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Access to Essential Services</w:t>
            </w:r>
          </w:p>
        </w:tc>
        <w:tc>
          <w:tcPr>
            <w:tcW w:w="1856"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 Education</w:t>
            </w:r>
          </w:p>
        </w:tc>
        <w:tc>
          <w:tcPr>
            <w:tcW w:w="1847"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Social</w:t>
            </w:r>
          </w:p>
        </w:tc>
        <w:tc>
          <w:tcPr>
            <w:tcW w:w="3703"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Providing funding for public educational facilities that cater to the general population's requirements in the areas of sports and cultural education, academic tutoring, remedial courses, art and dance education, and elementary and secondary schools.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If the conditions and terms are financially beneficial, Santander may provide student loans. By not further targeting low-income or disadvantaged people, Sustainalytics sees Santander's funding of student loans as a departure from the market norm. Still, Sustainalytics points out that the loans come with financial </w:t>
            </w:r>
            <w:r w:rsidRPr="00B320BE">
              <w:rPr>
                <w:rFonts w:ascii="Times New Roman" w:hAnsi="Times New Roman" w:cs="Times New Roman"/>
                <w:color w:val="000000" w:themeColor="text1"/>
                <w:sz w:val="24"/>
                <w:szCs w:val="24"/>
              </w:rPr>
              <w:lastRenderedPageBreak/>
              <w:t xml:space="preserve">benefits, which might mean more students have access to good loans and more beneficial social effects overall.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Adults who are already without employment or who are at risk of losing their jobs may be eligible for educational loans through the bank as part of initiatives to help them acquire fresh skills. Lend money from the bank at interest rates that are currently floating on the market. The absence of financial rewards is pointed out by Sustainalytics, which takes market practice for such loans into account.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Although there are no monetary benefits, which is against the market norm, Sustainalytics points out that the loans will impart to the recipient’s valuable skills, therefore they should have a beneficial social impact. Santander made it clear that all individuals, regardless of their financial situation, would have equal access to private facilities, including sports arenas. To qualify, a private facility must be non-profit or provide services to low-income people regardless of their capacity to pay.</w:t>
            </w:r>
          </w:p>
        </w:tc>
      </w:tr>
      <w:tr w:rsidR="00B320BE" w:rsidRPr="00B320BE" w:rsidTr="00B320BE">
        <w:tc>
          <w:tcPr>
            <w:cnfStyle w:val="001000000000" w:firstRow="0" w:lastRow="0" w:firstColumn="1" w:lastColumn="0" w:oddVBand="0" w:evenVBand="0" w:oddHBand="0" w:evenHBand="0" w:firstRowFirstColumn="0" w:firstRowLastColumn="0" w:lastRowFirstColumn="0" w:lastRowLastColumn="0"/>
            <w:tcW w:w="1944" w:type="dxa"/>
            <w:vMerge/>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p>
        </w:tc>
        <w:tc>
          <w:tcPr>
            <w:tcW w:w="1856"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Human healthcare and related activities</w:t>
            </w:r>
          </w:p>
        </w:tc>
        <w:tc>
          <w:tcPr>
            <w:tcW w:w="1847" w:type="dxa"/>
            <w:vMerge w:val="restart"/>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Social</w:t>
            </w:r>
          </w:p>
        </w:tc>
        <w:tc>
          <w:tcPr>
            <w:tcW w:w="3703"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Funding supports public healthcare facilities, outpatient clinics, diagnostic centers, physiotherapy, speech therapy, family planning, and general medicine, as well as public labs and field hospitals.</w:t>
            </w: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 addition to vaccinations and other fundamental pharmaceutical items and preparations, Santander may also fund the research and production of radiation, electro- medical and electrotherapeutic equipment, dental and medical devices aimed at the general population, and other medical supplies.</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Focusing on items that may be expected to assist satisfy urgent medical requirements is the market expectation, according to Sustainalytics, which takes into account the overall nature of some of the products to be funded in this field. The items will be supplied to both public and private healthcare institutions, according to Santander, so that everyone can access and afford them, regardless of their financial situation.</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Research and development spending will not exceed 10% of all transactions, according to Santander. Additionally, the Issuer has the option to fund public health services at residential care and social work centers that specialize in areas like nursing, learning disabilities, and children's daycares that serve at-risk youth, the elderly, migrants, and displaced people.</w:t>
            </w:r>
          </w:p>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Private and non-profit institutions will be open to anyone, regardless of capacity to pay, according to Santander.</w:t>
            </w:r>
          </w:p>
        </w:tc>
      </w:tr>
      <w:tr w:rsidR="00B320BE" w:rsidRPr="00B320BE" w:rsidTr="00B320BE">
        <w:trPr>
          <w:trHeight w:val="440"/>
        </w:trPr>
        <w:tc>
          <w:tcPr>
            <w:cnfStyle w:val="001000000000" w:firstRow="0" w:lastRow="0" w:firstColumn="1" w:lastColumn="0" w:oddVBand="0" w:evenVBand="0" w:oddHBand="0" w:evenHBand="0" w:firstRowFirstColumn="0" w:firstRowLastColumn="0" w:lastRowFirstColumn="0" w:lastRowLastColumn="0"/>
            <w:tcW w:w="1944" w:type="dxa"/>
            <w:vMerge/>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p>
        </w:tc>
        <w:tc>
          <w:tcPr>
            <w:tcW w:w="1856" w:type="dxa"/>
            <w:tcBorders>
              <w:bottom w:val="single" w:sz="4" w:space="0" w:color="FFFFFF" w:themeColor="background1"/>
            </w:tcBorders>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Social housing</w:t>
            </w:r>
          </w:p>
        </w:tc>
        <w:tc>
          <w:tcPr>
            <w:tcW w:w="1847" w:type="dxa"/>
            <w:vMerge/>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3703" w:type="dxa"/>
            <w:vMerge w:val="restart"/>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Providing funding for the building of houses and related infrastructure that caters to the socio-economic needs of those who fit the criteria set by the regional government. At the Branch level, Santander is obligated to report on the government's qualifying conditions that are followed.</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With low-interest rates and repayment conditions, Santander may provide mortgages to those who cannot otherwise afford an apartment. Mortgage payments shouldn't exceed 30% of a person's </w:t>
            </w:r>
            <w:r w:rsidRPr="00B320BE">
              <w:rPr>
                <w:rFonts w:ascii="Times New Roman" w:hAnsi="Times New Roman" w:cs="Times New Roman"/>
                <w:color w:val="000000" w:themeColor="text1"/>
                <w:sz w:val="24"/>
                <w:szCs w:val="24"/>
              </w:rPr>
              <w:lastRenderedPageBreak/>
              <w:t>net income, according to Santander. Only first-time homebuyers are eligible for mortgages under the Framework, according to Santander's explanation to Sustainalytics. Where possible, Sustainalytics urges Santander to be more transparent about the financial advantages of the mortgages funded by the Framework.</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People living in slums and informal settlements, as well as those without houses, are considered part of the target demographic for this category. Additionally, individuals are prohibited from having incomes that are more than 80% of the local average or lower than the median income in the country.</w:t>
            </w:r>
          </w:p>
        </w:tc>
      </w:tr>
      <w:tr w:rsidR="00B320BE" w:rsidRPr="00B320BE" w:rsidTr="00B320BE">
        <w:tc>
          <w:tcPr>
            <w:cnfStyle w:val="001000000000" w:firstRow="0" w:lastRow="0" w:firstColumn="1" w:lastColumn="0" w:oddVBand="0" w:evenVBand="0" w:oddHBand="0" w:evenHBand="0" w:firstRowFirstColumn="0" w:firstRowLastColumn="0" w:lastRowFirstColumn="0" w:lastRowLastColumn="0"/>
            <w:tcW w:w="1944" w:type="dxa"/>
            <w:vMerge/>
          </w:tcPr>
          <w:p w:rsidR="004460AC" w:rsidRPr="00B320BE" w:rsidRDefault="004460AC" w:rsidP="00B320BE">
            <w:pPr>
              <w:spacing w:after="160" w:line="360" w:lineRule="auto"/>
              <w:jc w:val="both"/>
              <w:rPr>
                <w:rFonts w:ascii="Times New Roman" w:hAnsi="Times New Roman" w:cs="Times New Roman"/>
                <w:color w:val="000000" w:themeColor="text1"/>
                <w:sz w:val="24"/>
                <w:szCs w:val="24"/>
              </w:rPr>
            </w:pPr>
          </w:p>
        </w:tc>
        <w:tc>
          <w:tcPr>
            <w:tcW w:w="1856" w:type="dxa"/>
            <w:tcBorders>
              <w:top w:val="single" w:sz="4" w:space="0" w:color="FFFFFF" w:themeColor="background1"/>
            </w:tcBorders>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1847" w:type="dxa"/>
            <w:vMerge/>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3703" w:type="dxa"/>
            <w:vMerge/>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r>
      <w:tr w:rsidR="00B320BE" w:rsidRPr="00B320BE" w:rsidTr="00B320BE">
        <w:tc>
          <w:tcPr>
            <w:cnfStyle w:val="001000000000" w:firstRow="0" w:lastRow="0" w:firstColumn="1" w:lastColumn="0" w:oddVBand="0" w:evenVBand="0" w:oddHBand="0" w:evenHBand="0" w:firstRowFirstColumn="0" w:firstRowLastColumn="0" w:lastRowFirstColumn="0" w:lastRowLastColumn="0"/>
            <w:tcW w:w="1944" w:type="dxa"/>
          </w:tcPr>
          <w:p w:rsidR="004460AC" w:rsidRPr="00B320BE" w:rsidRDefault="004460AC" w:rsidP="00B320BE">
            <w:pPr>
              <w:spacing w:after="160" w:line="360" w:lineRule="auto"/>
              <w:jc w:val="both"/>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lastRenderedPageBreak/>
              <w:t xml:space="preserve">Employment generation, and programs designed to prevent and/or alleviate unemployment stemming from socioeconomic crises, including through the potential effect of </w:t>
            </w:r>
            <w:r w:rsidRPr="00B320BE">
              <w:rPr>
                <w:rFonts w:ascii="Times New Roman" w:hAnsi="Times New Roman" w:cs="Times New Roman"/>
                <w:b w:val="0"/>
                <w:color w:val="000000" w:themeColor="text1"/>
                <w:sz w:val="24"/>
                <w:szCs w:val="24"/>
              </w:rPr>
              <w:lastRenderedPageBreak/>
              <w:t>SME financing and microfinance.</w:t>
            </w:r>
          </w:p>
        </w:tc>
        <w:tc>
          <w:tcPr>
            <w:tcW w:w="1856"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Financial and Insurance Activities</w:t>
            </w:r>
          </w:p>
        </w:tc>
        <w:tc>
          <w:tcPr>
            <w:tcW w:w="1847" w:type="dxa"/>
          </w:tcPr>
          <w:p w:rsidR="004460AC" w:rsidRPr="00B320BE" w:rsidRDefault="004460AC" w:rsidP="00B320BE">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Social</w:t>
            </w:r>
          </w:p>
        </w:tc>
        <w:tc>
          <w:tcPr>
            <w:tcW w:w="3703" w:type="dxa"/>
          </w:tcPr>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Initiatives related to the following seek to support small and medium-sized firms (SMEs), micro-enterprises, and informal workers in poor or disaster-stricken areas, as well as rural populations engaged in agricultural production and entrepreneurial women: </w:t>
            </w:r>
          </w:p>
          <w:p w:rsidR="004460AC" w:rsidRPr="00B320BE" w:rsidRDefault="004460AC" w:rsidP="00B320BE">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Access to microinsurance and transactional banking products and services is one goal of lending to small and medium-sized enterprises </w:t>
            </w:r>
            <w:r w:rsidRPr="00B320BE">
              <w:rPr>
                <w:rFonts w:ascii="Times New Roman" w:hAnsi="Times New Roman" w:cs="Times New Roman"/>
                <w:color w:val="000000" w:themeColor="text1"/>
                <w:sz w:val="24"/>
                <w:szCs w:val="24"/>
              </w:rPr>
              <w:lastRenderedPageBreak/>
              <w:t>(SMEs), micro-SMEs (micro-SMEs), and entrepreneurs. Another goal is to help SMEs, micro-SMEs (micro-SMEs), and entrepreneurs who have been hit hard by natural, health, or man-made disasters and are seen as important to the local economy due to the jobs they create, the services they offer, or the sector they support. Market practice is in line with this.</w:t>
            </w:r>
          </w:p>
        </w:tc>
      </w:tr>
    </w:tbl>
    <w:p w:rsidR="004460AC" w:rsidRPr="00B320BE" w:rsidRDefault="004460AC"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Source: (Santander, 2022)</w:t>
      </w:r>
    </w:p>
    <w:p w:rsidR="00134E6B" w:rsidRPr="00B320BE" w:rsidRDefault="00134E6B" w:rsidP="00B320BE">
      <w:pPr>
        <w:spacing w:line="360" w:lineRule="auto"/>
        <w:jc w:val="both"/>
        <w:rPr>
          <w:rFonts w:ascii="Times New Roman" w:hAnsi="Times New Roman" w:cs="Times New Roman"/>
          <w:color w:val="000000" w:themeColor="text1"/>
          <w:sz w:val="24"/>
          <w:szCs w:val="24"/>
        </w:rPr>
      </w:pPr>
    </w:p>
    <w:p w:rsidR="004460AC" w:rsidRPr="001816C6" w:rsidRDefault="004460AC" w:rsidP="00B320BE">
      <w:pPr>
        <w:pStyle w:val="Heading4"/>
        <w:spacing w:line="360" w:lineRule="auto"/>
        <w:jc w:val="both"/>
        <w:rPr>
          <w:rFonts w:ascii="Times New Roman" w:hAnsi="Times New Roman" w:cs="Times New Roman"/>
          <w:b/>
          <w:i w:val="0"/>
          <w:color w:val="000000" w:themeColor="text1"/>
          <w:sz w:val="24"/>
          <w:szCs w:val="24"/>
        </w:rPr>
      </w:pPr>
      <w:bookmarkStart w:id="180" w:name="_Toc156676333"/>
      <w:r w:rsidRPr="001816C6">
        <w:rPr>
          <w:rFonts w:ascii="Times New Roman" w:hAnsi="Times New Roman" w:cs="Times New Roman"/>
          <w:b/>
          <w:i w:val="0"/>
          <w:color w:val="000000" w:themeColor="text1"/>
          <w:sz w:val="24"/>
          <w:szCs w:val="24"/>
        </w:rPr>
        <w:t>Climate-Related Risks and ESG Performance</w:t>
      </w:r>
      <w:bookmarkEnd w:id="180"/>
    </w:p>
    <w:p w:rsidR="004460AC"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company focused on three strategies under Climate-Resilient.  Firstly, effective climate risk management, which identifies, assesses, and manages climate change-related risks. Supporting the sustainable transition and reducing our environmental footprint with an emphasis on Latin America, BSI provides comprehensive private banking and financial services to high-net-worth individuals and non-US citizens. For clients looking to grow their ESG-related portfolios, Banco Santander International (BSI) is committed to sustainable investing and incorporates ESG inputs into its advice and portfolio management processes. In this process, non-financial data is processed and analyzed to produce ESG-scored mutual funds, exchange-traded funds (ETFs), and alternative investments, both internally and externally. These products are then utilized to create spec</w:t>
      </w:r>
      <w:r w:rsidR="00C9053A" w:rsidRPr="00B320BE">
        <w:rPr>
          <w:rFonts w:ascii="Times New Roman" w:hAnsi="Times New Roman" w:cs="Times New Roman"/>
          <w:color w:val="000000" w:themeColor="text1"/>
          <w:sz w:val="24"/>
          <w:szCs w:val="24"/>
        </w:rPr>
        <w:t>ialized ESG portfolio solutions (Karen Gloria Vargas‐Santander et al., 2023).</w:t>
      </w:r>
    </w:p>
    <w:p w:rsidR="003608AA" w:rsidRDefault="003608AA" w:rsidP="00B320BE">
      <w:pPr>
        <w:spacing w:line="360" w:lineRule="auto"/>
        <w:jc w:val="both"/>
        <w:rPr>
          <w:rFonts w:ascii="Times New Roman" w:hAnsi="Times New Roman" w:cs="Times New Roman"/>
          <w:color w:val="000000" w:themeColor="text1"/>
          <w:sz w:val="24"/>
          <w:szCs w:val="24"/>
        </w:rPr>
      </w:pPr>
    </w:p>
    <w:p w:rsidR="003608AA" w:rsidRDefault="003608AA" w:rsidP="00B320BE">
      <w:pPr>
        <w:spacing w:line="360" w:lineRule="auto"/>
        <w:jc w:val="both"/>
        <w:rPr>
          <w:rFonts w:ascii="Times New Roman" w:hAnsi="Times New Roman" w:cs="Times New Roman"/>
          <w:color w:val="000000" w:themeColor="text1"/>
          <w:sz w:val="24"/>
          <w:szCs w:val="24"/>
        </w:rPr>
      </w:pPr>
    </w:p>
    <w:p w:rsidR="003608AA" w:rsidRDefault="003608AA" w:rsidP="00B320BE">
      <w:pPr>
        <w:spacing w:line="360" w:lineRule="auto"/>
        <w:jc w:val="both"/>
        <w:rPr>
          <w:rFonts w:ascii="Times New Roman" w:hAnsi="Times New Roman" w:cs="Times New Roman"/>
          <w:color w:val="000000" w:themeColor="text1"/>
          <w:sz w:val="24"/>
          <w:szCs w:val="24"/>
        </w:rPr>
      </w:pPr>
    </w:p>
    <w:p w:rsidR="003608AA" w:rsidRDefault="003608AA" w:rsidP="003608AA">
      <w:pPr>
        <w:keepNext/>
        <w:spacing w:line="360" w:lineRule="auto"/>
        <w:jc w:val="both"/>
      </w:pPr>
      <w:r w:rsidRPr="003608AA">
        <w:rPr>
          <w:rFonts w:ascii="Times New Roman" w:hAnsi="Times New Roman" w:cs="Times New Roman"/>
          <w:color w:val="000000" w:themeColor="text1"/>
          <w:sz w:val="24"/>
          <w:szCs w:val="24"/>
        </w:rPr>
        <w:lastRenderedPageBreak/>
        <w:drawing>
          <wp:inline distT="0" distB="0" distL="0" distR="0" wp14:anchorId="60553D0C" wp14:editId="4113E886">
            <wp:extent cx="5889625" cy="4275117"/>
            <wp:effectExtent l="76200" t="76200" r="130175" b="125730"/>
            <wp:docPr id="33" name="Picture 33" descr="https://www.anbsystems.com/wp-content/uploads/2021/06/impact-of-ESG-in-energ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anbsystems.com/wp-content/uploads/2021/06/impact-of-ESG-in-energy.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01784" cy="42839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608AA" w:rsidRPr="003608AA" w:rsidRDefault="003608AA" w:rsidP="003608AA">
      <w:pPr>
        <w:pStyle w:val="Caption"/>
        <w:jc w:val="both"/>
        <w:rPr>
          <w:rFonts w:ascii="Times New Roman" w:hAnsi="Times New Roman" w:cs="Times New Roman"/>
          <w:b/>
          <w:i w:val="0"/>
          <w:color w:val="auto"/>
          <w:sz w:val="36"/>
          <w:szCs w:val="24"/>
        </w:rPr>
      </w:pPr>
      <w:bookmarkStart w:id="181" w:name="_Toc156846094"/>
      <w:r w:rsidRPr="003608AA">
        <w:rPr>
          <w:rFonts w:ascii="Times New Roman" w:hAnsi="Times New Roman" w:cs="Times New Roman"/>
          <w:b/>
          <w:i w:val="0"/>
          <w:color w:val="auto"/>
          <w:sz w:val="24"/>
        </w:rPr>
        <w:t xml:space="preserve">Figure </w:t>
      </w:r>
      <w:r w:rsidRPr="003608AA">
        <w:rPr>
          <w:rFonts w:ascii="Times New Roman" w:hAnsi="Times New Roman" w:cs="Times New Roman"/>
          <w:b/>
          <w:i w:val="0"/>
          <w:color w:val="auto"/>
          <w:sz w:val="24"/>
        </w:rPr>
        <w:fldChar w:fldCharType="begin"/>
      </w:r>
      <w:r w:rsidRPr="003608AA">
        <w:rPr>
          <w:rFonts w:ascii="Times New Roman" w:hAnsi="Times New Roman" w:cs="Times New Roman"/>
          <w:b/>
          <w:i w:val="0"/>
          <w:color w:val="auto"/>
          <w:sz w:val="24"/>
        </w:rPr>
        <w:instrText xml:space="preserve"> SEQ Figure \* ARABIC </w:instrText>
      </w:r>
      <w:r w:rsidRPr="003608AA">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18</w:t>
      </w:r>
      <w:bookmarkEnd w:id="181"/>
      <w:r w:rsidRPr="003608AA">
        <w:rPr>
          <w:rFonts w:ascii="Times New Roman" w:hAnsi="Times New Roman" w:cs="Times New Roman"/>
          <w:b/>
          <w:i w:val="0"/>
          <w:color w:val="auto"/>
          <w:sz w:val="24"/>
        </w:rPr>
        <w:fldChar w:fldCharType="end"/>
      </w:r>
    </w:p>
    <w:p w:rsidR="003608AA" w:rsidRPr="00B320BE" w:rsidRDefault="003608AA" w:rsidP="00B320BE">
      <w:pPr>
        <w:spacing w:line="360" w:lineRule="auto"/>
        <w:jc w:val="both"/>
        <w:rPr>
          <w:rFonts w:ascii="Times New Roman" w:hAnsi="Times New Roman" w:cs="Times New Roman"/>
          <w:color w:val="000000" w:themeColor="text1"/>
          <w:sz w:val="24"/>
          <w:szCs w:val="24"/>
        </w:rPr>
      </w:pP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In 2022, BSI maintained over 120 ESG funds and 70 ESG ETFs within the product line with $250M of AuM in ESG funds and ETFs. The company defined climate-related risks into two categories. Transition Risks are risks associated with the transition to a lower carbon economy. Physical Risks are risks associated with severe weather events or driven by longer-term shifts in climate patterns (Santander, 2022). </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According to the </w:t>
      </w:r>
      <w:r w:rsidR="006D3A0F" w:rsidRPr="00B320BE">
        <w:rPr>
          <w:rFonts w:ascii="Times New Roman" w:hAnsi="Times New Roman" w:cs="Times New Roman"/>
          <w:color w:val="000000" w:themeColor="text1"/>
          <w:sz w:val="24"/>
          <w:szCs w:val="24"/>
        </w:rPr>
        <w:t>findings</w:t>
      </w:r>
      <w:r w:rsidRPr="00B320BE">
        <w:rPr>
          <w:rFonts w:ascii="Times New Roman" w:hAnsi="Times New Roman" w:cs="Times New Roman"/>
          <w:color w:val="000000" w:themeColor="text1"/>
          <w:sz w:val="24"/>
          <w:szCs w:val="24"/>
        </w:rPr>
        <w:t xml:space="preserve"> below, the company has guaranteed that it can power </w:t>
      </w:r>
      <w:r w:rsidR="006D3A0F" w:rsidRPr="00B320BE">
        <w:rPr>
          <w:rFonts w:ascii="Times New Roman" w:hAnsi="Times New Roman" w:cs="Times New Roman"/>
          <w:color w:val="000000" w:themeColor="text1"/>
          <w:sz w:val="24"/>
          <w:szCs w:val="24"/>
        </w:rPr>
        <w:t xml:space="preserve">up to </w:t>
      </w:r>
      <w:r w:rsidRPr="00B320BE">
        <w:rPr>
          <w:rFonts w:ascii="Times New Roman" w:hAnsi="Times New Roman" w:cs="Times New Roman"/>
          <w:color w:val="000000" w:themeColor="text1"/>
          <w:sz w:val="24"/>
          <w:szCs w:val="24"/>
        </w:rPr>
        <w:t>10.1 million households per year.</w:t>
      </w:r>
    </w:p>
    <w:p w:rsidR="00776B98" w:rsidRDefault="004460AC" w:rsidP="00776B98">
      <w:pPr>
        <w:keepNext/>
        <w:spacing w:line="360" w:lineRule="auto"/>
        <w:jc w:val="both"/>
      </w:pPr>
      <w:r w:rsidRPr="00B320BE">
        <w:rPr>
          <w:rFonts w:ascii="Times New Roman" w:hAnsi="Times New Roman" w:cs="Times New Roman"/>
          <w:noProof/>
          <w:color w:val="000000" w:themeColor="text1"/>
          <w:sz w:val="24"/>
          <w:szCs w:val="24"/>
        </w:rPr>
        <w:lastRenderedPageBreak/>
        <w:drawing>
          <wp:inline distT="0" distB="0" distL="0" distR="0" wp14:anchorId="33CC3D7D" wp14:editId="3D5FB1F6">
            <wp:extent cx="6070600" cy="5438899"/>
            <wp:effectExtent l="0" t="0" r="6350" b="9525"/>
            <wp:docPr id="8" name="Chart 8">
              <a:extLst xmlns:a="http://schemas.openxmlformats.org/drawingml/2006/main">
                <a:ext uri="{FF2B5EF4-FFF2-40B4-BE49-F238E27FC236}">
                  <a16:creationId xmlns:a16="http://schemas.microsoft.com/office/drawing/2014/main" id="{E977C304-936F-5F54-0679-1D1669B554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4460AC" w:rsidRPr="00776B98" w:rsidRDefault="00776B98" w:rsidP="00776B98">
      <w:pPr>
        <w:pStyle w:val="Caption"/>
        <w:jc w:val="both"/>
        <w:rPr>
          <w:rFonts w:ascii="Times New Roman" w:hAnsi="Times New Roman" w:cs="Times New Roman"/>
          <w:b/>
          <w:i w:val="0"/>
          <w:color w:val="000000" w:themeColor="text1"/>
          <w:sz w:val="24"/>
          <w:szCs w:val="24"/>
        </w:rPr>
      </w:pPr>
      <w:bookmarkStart w:id="182" w:name="_Toc156846095"/>
      <w:r w:rsidRPr="00776B98">
        <w:rPr>
          <w:rFonts w:ascii="Times New Roman" w:hAnsi="Times New Roman" w:cs="Times New Roman"/>
          <w:b/>
          <w:i w:val="0"/>
          <w:color w:val="000000" w:themeColor="text1"/>
          <w:sz w:val="24"/>
          <w:szCs w:val="24"/>
        </w:rPr>
        <w:t xml:space="preserve">Figure </w:t>
      </w:r>
      <w:r w:rsidRPr="00776B98">
        <w:rPr>
          <w:rFonts w:ascii="Times New Roman" w:hAnsi="Times New Roman" w:cs="Times New Roman"/>
          <w:b/>
          <w:i w:val="0"/>
          <w:color w:val="000000" w:themeColor="text1"/>
          <w:sz w:val="24"/>
          <w:szCs w:val="24"/>
        </w:rPr>
        <w:fldChar w:fldCharType="begin"/>
      </w:r>
      <w:r w:rsidRPr="00776B98">
        <w:rPr>
          <w:rFonts w:ascii="Times New Roman" w:hAnsi="Times New Roman" w:cs="Times New Roman"/>
          <w:b/>
          <w:i w:val="0"/>
          <w:color w:val="000000" w:themeColor="text1"/>
          <w:sz w:val="24"/>
          <w:szCs w:val="24"/>
        </w:rPr>
        <w:instrText xml:space="preserve"> SEQ Figure \* ARABIC </w:instrText>
      </w:r>
      <w:r w:rsidRPr="00776B98">
        <w:rPr>
          <w:rFonts w:ascii="Times New Roman" w:hAnsi="Times New Roman" w:cs="Times New Roman"/>
          <w:b/>
          <w:i w:val="0"/>
          <w:color w:val="000000" w:themeColor="text1"/>
          <w:sz w:val="24"/>
          <w:szCs w:val="24"/>
        </w:rPr>
        <w:fldChar w:fldCharType="separate"/>
      </w:r>
      <w:r w:rsidR="00FE2A81">
        <w:rPr>
          <w:rFonts w:ascii="Times New Roman" w:hAnsi="Times New Roman" w:cs="Times New Roman"/>
          <w:b/>
          <w:i w:val="0"/>
          <w:noProof/>
          <w:color w:val="000000" w:themeColor="text1"/>
          <w:sz w:val="24"/>
          <w:szCs w:val="24"/>
        </w:rPr>
        <w:t>19</w:t>
      </w:r>
      <w:bookmarkEnd w:id="182"/>
      <w:r w:rsidRPr="00776B98">
        <w:rPr>
          <w:rFonts w:ascii="Times New Roman" w:hAnsi="Times New Roman" w:cs="Times New Roman"/>
          <w:b/>
          <w:i w:val="0"/>
          <w:color w:val="000000" w:themeColor="text1"/>
          <w:sz w:val="24"/>
          <w:szCs w:val="24"/>
        </w:rPr>
        <w:fldChar w:fldCharType="end"/>
      </w:r>
    </w:p>
    <w:p w:rsidR="004460AC" w:rsidRPr="00B320BE" w:rsidRDefault="004460AC" w:rsidP="001816C6">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Source: (Santander, 2022)</w:t>
      </w:r>
    </w:p>
    <w:p w:rsidR="00134E6B" w:rsidRPr="001816C6" w:rsidRDefault="00134E6B" w:rsidP="00B320BE">
      <w:pPr>
        <w:spacing w:line="360" w:lineRule="auto"/>
        <w:jc w:val="both"/>
        <w:rPr>
          <w:rFonts w:ascii="Times New Roman" w:hAnsi="Times New Roman" w:cs="Times New Roman"/>
          <w:b/>
          <w:color w:val="000000" w:themeColor="text1"/>
          <w:sz w:val="24"/>
          <w:szCs w:val="24"/>
        </w:rPr>
      </w:pPr>
    </w:p>
    <w:p w:rsidR="004460AC" w:rsidRPr="001816C6" w:rsidRDefault="004460AC" w:rsidP="00B320BE">
      <w:pPr>
        <w:pStyle w:val="Heading2"/>
        <w:spacing w:line="360" w:lineRule="auto"/>
        <w:jc w:val="both"/>
        <w:rPr>
          <w:rFonts w:ascii="Times New Roman" w:hAnsi="Times New Roman" w:cs="Times New Roman"/>
          <w:b/>
          <w:color w:val="000000" w:themeColor="text1"/>
          <w:sz w:val="24"/>
          <w:szCs w:val="24"/>
        </w:rPr>
      </w:pPr>
      <w:bookmarkStart w:id="183" w:name="_Toc156676334"/>
      <w:bookmarkStart w:id="184" w:name="_Toc156846028"/>
      <w:r w:rsidRPr="001816C6">
        <w:rPr>
          <w:rFonts w:ascii="Times New Roman" w:hAnsi="Times New Roman" w:cs="Times New Roman"/>
          <w:b/>
          <w:color w:val="000000" w:themeColor="text1"/>
          <w:sz w:val="24"/>
          <w:szCs w:val="24"/>
        </w:rPr>
        <w:t>Overall ESG Analysis</w:t>
      </w:r>
      <w:bookmarkEnd w:id="183"/>
      <w:bookmarkEnd w:id="184"/>
      <w:r w:rsidRPr="001816C6">
        <w:rPr>
          <w:rFonts w:ascii="Times New Roman" w:hAnsi="Times New Roman" w:cs="Times New Roman"/>
          <w:b/>
          <w:color w:val="000000" w:themeColor="text1"/>
          <w:sz w:val="24"/>
          <w:szCs w:val="24"/>
        </w:rPr>
        <w:t xml:space="preserve"> </w:t>
      </w:r>
    </w:p>
    <w:p w:rsidR="00776B98" w:rsidRPr="001816C6" w:rsidRDefault="004460AC" w:rsidP="00B320BE">
      <w:pPr>
        <w:spacing w:line="360" w:lineRule="auto"/>
        <w:jc w:val="both"/>
        <w:rPr>
          <w:rFonts w:ascii="Times New Roman" w:hAnsi="Times New Roman" w:cs="Times New Roman"/>
          <w:b/>
          <w:iCs/>
          <w:color w:val="000000" w:themeColor="text1"/>
          <w:sz w:val="24"/>
          <w:szCs w:val="24"/>
        </w:rPr>
      </w:pPr>
      <w:r w:rsidRPr="001816C6">
        <w:rPr>
          <w:rFonts w:ascii="Times New Roman" w:hAnsi="Times New Roman" w:cs="Times New Roman"/>
          <w:b/>
          <w:iCs/>
          <w:color w:val="000000" w:themeColor="text1"/>
          <w:sz w:val="24"/>
          <w:szCs w:val="24"/>
        </w:rPr>
        <w:t xml:space="preserve">Performance Indicator Calculation per Company </w:t>
      </w:r>
    </w:p>
    <w:p w:rsidR="00776B98" w:rsidRDefault="00776B98" w:rsidP="00776B98">
      <w:pPr>
        <w:pStyle w:val="Caption"/>
        <w:keepNext/>
        <w:rPr>
          <w:rFonts w:ascii="Times New Roman" w:hAnsi="Times New Roman" w:cs="Times New Roman"/>
          <w:b/>
          <w:i w:val="0"/>
          <w:color w:val="000000" w:themeColor="text1"/>
          <w:sz w:val="24"/>
        </w:rPr>
      </w:pPr>
      <w:bookmarkStart w:id="185" w:name="_Toc156846132"/>
      <w:r w:rsidRPr="00776B98">
        <w:rPr>
          <w:rFonts w:ascii="Times New Roman" w:hAnsi="Times New Roman" w:cs="Times New Roman"/>
          <w:b/>
          <w:i w:val="0"/>
          <w:color w:val="000000" w:themeColor="text1"/>
          <w:sz w:val="24"/>
        </w:rPr>
        <w:t xml:space="preserve">Table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Table \* ARABIC </w:instrText>
      </w:r>
      <w:r w:rsidRPr="00776B98">
        <w:rPr>
          <w:rFonts w:ascii="Times New Roman" w:hAnsi="Times New Roman" w:cs="Times New Roman"/>
          <w:b/>
          <w:i w:val="0"/>
          <w:color w:val="000000" w:themeColor="text1"/>
          <w:sz w:val="24"/>
        </w:rPr>
        <w:fldChar w:fldCharType="separate"/>
      </w:r>
      <w:r>
        <w:rPr>
          <w:rFonts w:ascii="Times New Roman" w:hAnsi="Times New Roman" w:cs="Times New Roman"/>
          <w:b/>
          <w:i w:val="0"/>
          <w:noProof/>
          <w:color w:val="000000" w:themeColor="text1"/>
          <w:sz w:val="24"/>
        </w:rPr>
        <w:t>4</w:t>
      </w:r>
      <w:r w:rsidRPr="00776B98">
        <w:rPr>
          <w:rFonts w:ascii="Times New Roman" w:hAnsi="Times New Roman" w:cs="Times New Roman"/>
          <w:b/>
          <w:i w:val="0"/>
          <w:color w:val="000000" w:themeColor="text1"/>
          <w:sz w:val="24"/>
        </w:rPr>
        <w:fldChar w:fldCharType="end"/>
      </w:r>
      <w:r>
        <w:rPr>
          <w:rFonts w:ascii="Times New Roman" w:hAnsi="Times New Roman" w:cs="Times New Roman"/>
          <w:b/>
          <w:i w:val="0"/>
          <w:color w:val="000000" w:themeColor="text1"/>
          <w:sz w:val="24"/>
        </w:rPr>
        <w:t>:</w:t>
      </w:r>
      <w:bookmarkEnd w:id="185"/>
    </w:p>
    <w:p w:rsidR="00776B98" w:rsidRPr="00776B98" w:rsidRDefault="00776B98" w:rsidP="00776B98"/>
    <w:tbl>
      <w:tblPr>
        <w:tblStyle w:val="GridTable1Light"/>
        <w:tblW w:w="5099" w:type="pct"/>
        <w:tblLook w:val="04A0" w:firstRow="1" w:lastRow="0" w:firstColumn="1" w:lastColumn="0" w:noHBand="0" w:noVBand="1"/>
      </w:tblPr>
      <w:tblGrid>
        <w:gridCol w:w="1664"/>
        <w:gridCol w:w="1479"/>
        <w:gridCol w:w="1679"/>
        <w:gridCol w:w="1571"/>
        <w:gridCol w:w="1483"/>
        <w:gridCol w:w="1659"/>
      </w:tblGrid>
      <w:tr w:rsidR="00776B98" w:rsidRPr="00B320BE" w:rsidTr="0078540E">
        <w:trPr>
          <w:cnfStyle w:val="100000000000" w:firstRow="1" w:lastRow="0" w:firstColumn="0" w:lastColumn="0" w:oddVBand="0" w:evenVBand="0" w:oddHBand="0" w:evenHBand="0" w:firstRowFirstColumn="0" w:firstRowLastColumn="0" w:lastRowFirstColumn="0" w:lastRowLastColumn="0"/>
          <w:trHeight w:val="2562"/>
        </w:trPr>
        <w:tc>
          <w:tcPr>
            <w:cnfStyle w:val="001000000000" w:firstRow="0" w:lastRow="0" w:firstColumn="1" w:lastColumn="0" w:oddVBand="0" w:evenVBand="0" w:oddHBand="0" w:evenHBand="0" w:firstRowFirstColumn="0" w:firstRowLastColumn="0" w:lastRowFirstColumn="0" w:lastRowLastColumn="0"/>
            <w:tcW w:w="890" w:type="pct"/>
            <w:shd w:val="clear" w:color="auto" w:fill="FFD966" w:themeFill="accent4" w:themeFillTint="99"/>
          </w:tcPr>
          <w:p w:rsidR="004460AC" w:rsidRPr="00B320BE" w:rsidRDefault="004460AC" w:rsidP="00503F1A">
            <w:pPr>
              <w:spacing w:after="160" w:line="360" w:lineRule="auto"/>
              <w:jc w:val="center"/>
              <w:rPr>
                <w:rFonts w:ascii="Times New Roman" w:hAnsi="Times New Roman" w:cs="Times New Roman"/>
                <w:color w:val="000000" w:themeColor="text1"/>
                <w:sz w:val="24"/>
                <w:szCs w:val="24"/>
              </w:rPr>
            </w:pPr>
            <w:r w:rsidRPr="0078540E">
              <w:rPr>
                <w:rFonts w:ascii="Times New Roman" w:hAnsi="Times New Roman" w:cs="Times New Roman"/>
                <w:color w:val="000000" w:themeColor="text1"/>
                <w:sz w:val="28"/>
                <w:szCs w:val="24"/>
              </w:rPr>
              <w:lastRenderedPageBreak/>
              <w:t>Company</w:t>
            </w:r>
          </w:p>
        </w:tc>
        <w:tc>
          <w:tcPr>
            <w:tcW w:w="793" w:type="pct"/>
            <w:shd w:val="clear" w:color="auto" w:fill="FFD966" w:themeFill="accent4" w:themeFillTint="99"/>
          </w:tcPr>
          <w:p w:rsidR="004460AC" w:rsidRPr="00B320BE" w:rsidRDefault="004460AC" w:rsidP="00503F1A">
            <w:pPr>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78540E">
              <w:rPr>
                <w:rFonts w:ascii="Times New Roman" w:hAnsi="Times New Roman" w:cs="Times New Roman"/>
                <w:color w:val="000000" w:themeColor="text1"/>
                <w:sz w:val="28"/>
                <w:szCs w:val="24"/>
              </w:rPr>
              <w:t>Average of Beta (5Y Monthly)</w:t>
            </w:r>
          </w:p>
        </w:tc>
        <w:tc>
          <w:tcPr>
            <w:tcW w:w="794" w:type="pct"/>
            <w:shd w:val="clear" w:color="auto" w:fill="FFD966" w:themeFill="accent4" w:themeFillTint="99"/>
          </w:tcPr>
          <w:p w:rsidR="004460AC" w:rsidRPr="0078540E" w:rsidRDefault="004460AC" w:rsidP="00503F1A">
            <w:pPr>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8"/>
                <w:szCs w:val="24"/>
              </w:rPr>
            </w:pPr>
            <w:r w:rsidRPr="0078540E">
              <w:rPr>
                <w:rFonts w:ascii="Times New Roman" w:hAnsi="Times New Roman" w:cs="Times New Roman"/>
                <w:color w:val="000000" w:themeColor="text1"/>
                <w:sz w:val="28"/>
                <w:szCs w:val="24"/>
              </w:rPr>
              <w:t>Average of Total Debt/Equity (mrq)</w:t>
            </w:r>
          </w:p>
        </w:tc>
        <w:tc>
          <w:tcPr>
            <w:tcW w:w="841" w:type="pct"/>
            <w:shd w:val="clear" w:color="auto" w:fill="FFD966" w:themeFill="accent4" w:themeFillTint="99"/>
          </w:tcPr>
          <w:p w:rsidR="004460AC" w:rsidRPr="0078540E" w:rsidRDefault="004460AC" w:rsidP="00503F1A">
            <w:pPr>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8"/>
                <w:szCs w:val="24"/>
              </w:rPr>
            </w:pPr>
            <w:r w:rsidRPr="0078540E">
              <w:rPr>
                <w:rFonts w:ascii="Times New Roman" w:hAnsi="Times New Roman" w:cs="Times New Roman"/>
                <w:color w:val="000000" w:themeColor="text1"/>
                <w:sz w:val="28"/>
                <w:szCs w:val="24"/>
              </w:rPr>
              <w:t>Average of Profit Margin</w:t>
            </w:r>
          </w:p>
        </w:tc>
        <w:tc>
          <w:tcPr>
            <w:tcW w:w="795" w:type="pct"/>
            <w:shd w:val="clear" w:color="auto" w:fill="FFD966" w:themeFill="accent4" w:themeFillTint="99"/>
          </w:tcPr>
          <w:p w:rsidR="004460AC" w:rsidRPr="0078540E" w:rsidRDefault="004460AC" w:rsidP="00503F1A">
            <w:pPr>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8"/>
                <w:szCs w:val="24"/>
              </w:rPr>
            </w:pPr>
            <w:r w:rsidRPr="0078540E">
              <w:rPr>
                <w:rFonts w:ascii="Times New Roman" w:hAnsi="Times New Roman" w:cs="Times New Roman"/>
                <w:color w:val="000000" w:themeColor="text1"/>
                <w:sz w:val="28"/>
                <w:szCs w:val="24"/>
              </w:rPr>
              <w:t>Average of Return on Assets (ttm)</w:t>
            </w:r>
          </w:p>
        </w:tc>
        <w:tc>
          <w:tcPr>
            <w:tcW w:w="887" w:type="pct"/>
            <w:shd w:val="clear" w:color="auto" w:fill="FFD966" w:themeFill="accent4" w:themeFillTint="99"/>
          </w:tcPr>
          <w:p w:rsidR="004460AC" w:rsidRPr="0078540E" w:rsidRDefault="004460AC" w:rsidP="00503F1A">
            <w:pPr>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8"/>
                <w:szCs w:val="24"/>
              </w:rPr>
            </w:pPr>
            <w:r w:rsidRPr="0078540E">
              <w:rPr>
                <w:rFonts w:ascii="Times New Roman" w:hAnsi="Times New Roman" w:cs="Times New Roman"/>
                <w:color w:val="000000" w:themeColor="text1"/>
                <w:sz w:val="28"/>
                <w:szCs w:val="24"/>
              </w:rPr>
              <w:t>Average of Return on Equity (ttm)</w:t>
            </w:r>
          </w:p>
        </w:tc>
      </w:tr>
      <w:tr w:rsidR="00776B98" w:rsidRPr="00B320BE" w:rsidTr="0078540E">
        <w:trPr>
          <w:trHeight w:val="1529"/>
        </w:trPr>
        <w:tc>
          <w:tcPr>
            <w:cnfStyle w:val="001000000000" w:firstRow="0" w:lastRow="0" w:firstColumn="1" w:lastColumn="0" w:oddVBand="0" w:evenVBand="0" w:oddHBand="0" w:evenHBand="0" w:firstRowFirstColumn="0" w:firstRowLastColumn="0" w:lastRowFirstColumn="0" w:lastRowLastColumn="0"/>
            <w:tcW w:w="890" w:type="pct"/>
            <w:shd w:val="clear" w:color="auto" w:fill="FFD966" w:themeFill="accent4" w:themeFillTint="99"/>
          </w:tcPr>
          <w:p w:rsidR="004460AC" w:rsidRPr="00B320BE" w:rsidRDefault="004460AC" w:rsidP="00503F1A">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Intesa Sanpaolo</w:t>
            </w:r>
          </w:p>
        </w:tc>
        <w:tc>
          <w:tcPr>
            <w:tcW w:w="793"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1.39</w:t>
            </w:r>
          </w:p>
        </w:tc>
        <w:tc>
          <w:tcPr>
            <w:tcW w:w="794"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16.45</w:t>
            </w:r>
          </w:p>
        </w:tc>
        <w:tc>
          <w:tcPr>
            <w:tcW w:w="841"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28.5%</w:t>
            </w:r>
          </w:p>
        </w:tc>
        <w:tc>
          <w:tcPr>
            <w:tcW w:w="795"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0.6%</w:t>
            </w:r>
          </w:p>
        </w:tc>
        <w:tc>
          <w:tcPr>
            <w:tcW w:w="887"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8.50%</w:t>
            </w:r>
          </w:p>
        </w:tc>
      </w:tr>
      <w:tr w:rsidR="00776B98" w:rsidRPr="00B320BE" w:rsidTr="0078540E">
        <w:trPr>
          <w:trHeight w:val="883"/>
        </w:trPr>
        <w:tc>
          <w:tcPr>
            <w:cnfStyle w:val="001000000000" w:firstRow="0" w:lastRow="0" w:firstColumn="1" w:lastColumn="0" w:oddVBand="0" w:evenVBand="0" w:oddHBand="0" w:evenHBand="0" w:firstRowFirstColumn="0" w:firstRowLastColumn="0" w:lastRowFirstColumn="0" w:lastRowLastColumn="0"/>
            <w:tcW w:w="890" w:type="pct"/>
            <w:shd w:val="clear" w:color="auto" w:fill="FFD966" w:themeFill="accent4" w:themeFillTint="99"/>
          </w:tcPr>
          <w:p w:rsidR="004460AC" w:rsidRPr="00B320BE" w:rsidRDefault="004460AC" w:rsidP="00503F1A">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Nordea Bank</w:t>
            </w:r>
          </w:p>
        </w:tc>
        <w:tc>
          <w:tcPr>
            <w:tcW w:w="793"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0.87</w:t>
            </w:r>
          </w:p>
        </w:tc>
        <w:tc>
          <w:tcPr>
            <w:tcW w:w="794"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19.71</w:t>
            </w:r>
          </w:p>
        </w:tc>
        <w:tc>
          <w:tcPr>
            <w:tcW w:w="841"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24.69%</w:t>
            </w:r>
          </w:p>
        </w:tc>
        <w:tc>
          <w:tcPr>
            <w:tcW w:w="795"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0.79%</w:t>
            </w:r>
          </w:p>
        </w:tc>
        <w:tc>
          <w:tcPr>
            <w:tcW w:w="887"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15.94%</w:t>
            </w:r>
          </w:p>
        </w:tc>
      </w:tr>
      <w:tr w:rsidR="00776B98" w:rsidRPr="00B320BE" w:rsidTr="0078540E">
        <w:trPr>
          <w:trHeight w:val="912"/>
        </w:trPr>
        <w:tc>
          <w:tcPr>
            <w:cnfStyle w:val="001000000000" w:firstRow="0" w:lastRow="0" w:firstColumn="1" w:lastColumn="0" w:oddVBand="0" w:evenVBand="0" w:oddHBand="0" w:evenHBand="0" w:firstRowFirstColumn="0" w:firstRowLastColumn="0" w:lastRowFirstColumn="0" w:lastRowLastColumn="0"/>
            <w:tcW w:w="890" w:type="pct"/>
            <w:shd w:val="clear" w:color="auto" w:fill="FFD966" w:themeFill="accent4" w:themeFillTint="99"/>
          </w:tcPr>
          <w:p w:rsidR="004460AC" w:rsidRPr="00B320BE" w:rsidRDefault="004460AC" w:rsidP="00503F1A">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ING Group</w:t>
            </w:r>
          </w:p>
        </w:tc>
        <w:tc>
          <w:tcPr>
            <w:tcW w:w="793"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1.66</w:t>
            </w:r>
          </w:p>
        </w:tc>
        <w:tc>
          <w:tcPr>
            <w:tcW w:w="794"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17.04</w:t>
            </w:r>
          </w:p>
        </w:tc>
        <w:tc>
          <w:tcPr>
            <w:tcW w:w="841"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28.4%</w:t>
            </w:r>
          </w:p>
        </w:tc>
        <w:tc>
          <w:tcPr>
            <w:tcW w:w="795"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0.37%</w:t>
            </w:r>
          </w:p>
        </w:tc>
        <w:tc>
          <w:tcPr>
            <w:tcW w:w="887"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8.00%</w:t>
            </w:r>
          </w:p>
        </w:tc>
      </w:tr>
      <w:tr w:rsidR="00776B98" w:rsidRPr="00B320BE" w:rsidTr="0078540E">
        <w:trPr>
          <w:trHeight w:val="883"/>
        </w:trPr>
        <w:tc>
          <w:tcPr>
            <w:cnfStyle w:val="001000000000" w:firstRow="0" w:lastRow="0" w:firstColumn="1" w:lastColumn="0" w:oddVBand="0" w:evenVBand="0" w:oddHBand="0" w:evenHBand="0" w:firstRowFirstColumn="0" w:firstRowLastColumn="0" w:lastRowFirstColumn="0" w:lastRowLastColumn="0"/>
            <w:tcW w:w="890" w:type="pct"/>
            <w:shd w:val="clear" w:color="auto" w:fill="FFD966" w:themeFill="accent4" w:themeFillTint="99"/>
          </w:tcPr>
          <w:p w:rsidR="004460AC" w:rsidRPr="00B320BE" w:rsidRDefault="004460AC" w:rsidP="00503F1A">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BNP Paribas</w:t>
            </w:r>
          </w:p>
        </w:tc>
        <w:tc>
          <w:tcPr>
            <w:tcW w:w="793"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1.67</w:t>
            </w:r>
          </w:p>
        </w:tc>
        <w:tc>
          <w:tcPr>
            <w:tcW w:w="794"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19.82</w:t>
            </w:r>
          </w:p>
        </w:tc>
        <w:tc>
          <w:tcPr>
            <w:tcW w:w="841"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22.69%</w:t>
            </w:r>
          </w:p>
        </w:tc>
        <w:tc>
          <w:tcPr>
            <w:tcW w:w="795"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0.32%</w:t>
            </w:r>
          </w:p>
        </w:tc>
        <w:tc>
          <w:tcPr>
            <w:tcW w:w="887"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7.41%</w:t>
            </w:r>
          </w:p>
        </w:tc>
      </w:tr>
      <w:tr w:rsidR="00776B98" w:rsidRPr="00B320BE" w:rsidTr="0078540E">
        <w:trPr>
          <w:trHeight w:val="883"/>
        </w:trPr>
        <w:tc>
          <w:tcPr>
            <w:cnfStyle w:val="001000000000" w:firstRow="0" w:lastRow="0" w:firstColumn="1" w:lastColumn="0" w:oddVBand="0" w:evenVBand="0" w:oddHBand="0" w:evenHBand="0" w:firstRowFirstColumn="0" w:firstRowLastColumn="0" w:lastRowFirstColumn="0" w:lastRowLastColumn="0"/>
            <w:tcW w:w="890" w:type="pct"/>
            <w:shd w:val="clear" w:color="auto" w:fill="FFD966" w:themeFill="accent4" w:themeFillTint="99"/>
          </w:tcPr>
          <w:p w:rsidR="004460AC" w:rsidRPr="00B320BE" w:rsidRDefault="004460AC" w:rsidP="00503F1A">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BCO Santander</w:t>
            </w:r>
          </w:p>
        </w:tc>
        <w:tc>
          <w:tcPr>
            <w:tcW w:w="793"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1.33</w:t>
            </w:r>
          </w:p>
        </w:tc>
        <w:tc>
          <w:tcPr>
            <w:tcW w:w="794"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16.45</w:t>
            </w:r>
          </w:p>
        </w:tc>
        <w:tc>
          <w:tcPr>
            <w:tcW w:w="841"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18.1%</w:t>
            </w:r>
          </w:p>
        </w:tc>
        <w:tc>
          <w:tcPr>
            <w:tcW w:w="795"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0.52%</w:t>
            </w:r>
          </w:p>
        </w:tc>
        <w:tc>
          <w:tcPr>
            <w:tcW w:w="887" w:type="pct"/>
            <w:shd w:val="clear" w:color="auto" w:fill="C5E0B3" w:themeFill="accent6" w:themeFillTint="66"/>
          </w:tcPr>
          <w:p w:rsidR="004460AC" w:rsidRPr="00B320BE" w:rsidRDefault="004460AC" w:rsidP="00503F1A">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9.27%</w:t>
            </w:r>
          </w:p>
        </w:tc>
      </w:tr>
    </w:tbl>
    <w:p w:rsidR="00C9053A" w:rsidRPr="00B320BE" w:rsidRDefault="00C9053A" w:rsidP="00B320BE">
      <w:pPr>
        <w:spacing w:line="360" w:lineRule="auto"/>
        <w:jc w:val="both"/>
        <w:rPr>
          <w:rFonts w:ascii="Times New Roman" w:hAnsi="Times New Roman" w:cs="Times New Roman"/>
          <w:color w:val="000000" w:themeColor="text1"/>
          <w:sz w:val="24"/>
          <w:szCs w:val="24"/>
        </w:rPr>
      </w:pPr>
    </w:p>
    <w:p w:rsidR="004460AC" w:rsidRPr="00B320BE" w:rsidRDefault="004460AC" w:rsidP="001816C6">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Source: </w:t>
      </w:r>
      <w:r w:rsidR="00C9053A" w:rsidRPr="00B320BE">
        <w:rPr>
          <w:rFonts w:ascii="Times New Roman" w:hAnsi="Times New Roman" w:cs="Times New Roman"/>
          <w:color w:val="000000" w:themeColor="text1"/>
          <w:sz w:val="24"/>
          <w:szCs w:val="24"/>
        </w:rPr>
        <w:t>(Macrotrends, 2023)</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market volatility and risk of a stock are expressed by the beta indicator. A stock with a beta of larger than 1.0 indicates that it fluctuates more than the market does over time, whereas a stock with a beta of less than 1.0 indicates indicating the volatility of the overall market is lower. The market is smaller than stock. High-beta stocks typically have greater potential returns, Low-beta stocks, alternatively, are less risky yet offer higher returns. decreased profits. The investigation revealed that, in general, businesses with strong ESG performance typically have a s</w:t>
      </w:r>
      <w:r w:rsidR="00C9053A" w:rsidRPr="00B320BE">
        <w:rPr>
          <w:rFonts w:ascii="Times New Roman" w:hAnsi="Times New Roman" w:cs="Times New Roman"/>
          <w:color w:val="000000" w:themeColor="text1"/>
          <w:sz w:val="24"/>
          <w:szCs w:val="24"/>
        </w:rPr>
        <w:t>maller beta, which reduces risk (Macrotrends, 2023).</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According to Google Finance CDP climate change score analysis has been carried out as below: </w:t>
      </w:r>
    </w:p>
    <w:p w:rsidR="00776B98" w:rsidRDefault="00776B98" w:rsidP="00776B98">
      <w:pPr>
        <w:pStyle w:val="Caption"/>
        <w:keepNext/>
        <w:rPr>
          <w:rFonts w:ascii="Times New Roman" w:hAnsi="Times New Roman" w:cs="Times New Roman"/>
          <w:b/>
          <w:i w:val="0"/>
          <w:color w:val="000000" w:themeColor="text1"/>
          <w:sz w:val="24"/>
        </w:rPr>
      </w:pPr>
      <w:bookmarkStart w:id="186" w:name="_Toc156846133"/>
      <w:r w:rsidRPr="00776B98">
        <w:rPr>
          <w:rFonts w:ascii="Times New Roman" w:hAnsi="Times New Roman" w:cs="Times New Roman"/>
          <w:b/>
          <w:i w:val="0"/>
          <w:color w:val="000000" w:themeColor="text1"/>
          <w:sz w:val="24"/>
        </w:rPr>
        <w:lastRenderedPageBreak/>
        <w:t xml:space="preserve">Table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Table \* ARABIC </w:instrText>
      </w:r>
      <w:r w:rsidRPr="00776B98">
        <w:rPr>
          <w:rFonts w:ascii="Times New Roman" w:hAnsi="Times New Roman" w:cs="Times New Roman"/>
          <w:b/>
          <w:i w:val="0"/>
          <w:color w:val="000000" w:themeColor="text1"/>
          <w:sz w:val="24"/>
        </w:rPr>
        <w:fldChar w:fldCharType="separate"/>
      </w:r>
      <w:r>
        <w:rPr>
          <w:rFonts w:ascii="Times New Roman" w:hAnsi="Times New Roman" w:cs="Times New Roman"/>
          <w:b/>
          <w:i w:val="0"/>
          <w:noProof/>
          <w:color w:val="000000" w:themeColor="text1"/>
          <w:sz w:val="24"/>
        </w:rPr>
        <w:t>5</w:t>
      </w:r>
      <w:r w:rsidRPr="00776B98">
        <w:rPr>
          <w:rFonts w:ascii="Times New Roman" w:hAnsi="Times New Roman" w:cs="Times New Roman"/>
          <w:b/>
          <w:i w:val="0"/>
          <w:color w:val="000000" w:themeColor="text1"/>
          <w:sz w:val="24"/>
        </w:rPr>
        <w:fldChar w:fldCharType="end"/>
      </w:r>
      <w:r w:rsidR="000A53B8">
        <w:rPr>
          <w:rFonts w:ascii="Times New Roman" w:hAnsi="Times New Roman" w:cs="Times New Roman"/>
          <w:b/>
          <w:i w:val="0"/>
          <w:color w:val="000000" w:themeColor="text1"/>
          <w:sz w:val="24"/>
        </w:rPr>
        <w:t>:</w:t>
      </w:r>
      <w:bookmarkEnd w:id="186"/>
    </w:p>
    <w:p w:rsidR="00776B98" w:rsidRPr="00776B98" w:rsidRDefault="00776B98" w:rsidP="00776B98"/>
    <w:tbl>
      <w:tblPr>
        <w:tblStyle w:val="GridTable1Light"/>
        <w:tblW w:w="9386" w:type="dxa"/>
        <w:tblLook w:val="04A0" w:firstRow="1" w:lastRow="0" w:firstColumn="1" w:lastColumn="0" w:noHBand="0" w:noVBand="1"/>
      </w:tblPr>
      <w:tblGrid>
        <w:gridCol w:w="4693"/>
        <w:gridCol w:w="4693"/>
      </w:tblGrid>
      <w:tr w:rsidR="00776B98" w:rsidRPr="00B320BE" w:rsidTr="0078540E">
        <w:trPr>
          <w:cnfStyle w:val="100000000000" w:firstRow="1" w:lastRow="0" w:firstColumn="0" w:lastColumn="0" w:oddVBand="0" w:evenVBand="0" w:oddHBand="0" w:evenHBand="0" w:firstRowFirstColumn="0" w:firstRowLastColumn="0" w:lastRowFirstColumn="0" w:lastRowLastColumn="0"/>
          <w:trHeight w:val="927"/>
        </w:trPr>
        <w:tc>
          <w:tcPr>
            <w:cnfStyle w:val="001000000000" w:firstRow="0" w:lastRow="0" w:firstColumn="1" w:lastColumn="0" w:oddVBand="0" w:evenVBand="0" w:oddHBand="0" w:evenHBand="0" w:firstRowFirstColumn="0" w:firstRowLastColumn="0" w:lastRowFirstColumn="0" w:lastRowLastColumn="0"/>
            <w:tcW w:w="4693" w:type="dxa"/>
            <w:shd w:val="clear" w:color="auto" w:fill="FFD966" w:themeFill="accent4" w:themeFillTint="99"/>
          </w:tcPr>
          <w:p w:rsidR="0078540E" w:rsidRDefault="0078540E" w:rsidP="0078540E">
            <w:pPr>
              <w:spacing w:after="160" w:line="360" w:lineRule="auto"/>
              <w:jc w:val="center"/>
              <w:rPr>
                <w:rFonts w:ascii="Times New Roman" w:hAnsi="Times New Roman" w:cs="Times New Roman"/>
                <w:color w:val="000000" w:themeColor="text1"/>
                <w:sz w:val="24"/>
                <w:szCs w:val="24"/>
              </w:rPr>
            </w:pPr>
          </w:p>
          <w:p w:rsidR="004460AC" w:rsidRPr="00B320BE" w:rsidRDefault="004460AC" w:rsidP="0078540E">
            <w:pPr>
              <w:spacing w:after="160"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Company</w:t>
            </w:r>
          </w:p>
        </w:tc>
        <w:tc>
          <w:tcPr>
            <w:tcW w:w="4693" w:type="dxa"/>
            <w:shd w:val="clear" w:color="auto" w:fill="FFD966" w:themeFill="accent4" w:themeFillTint="99"/>
          </w:tcPr>
          <w:p w:rsidR="0078540E" w:rsidRDefault="0078540E" w:rsidP="0078540E">
            <w:pPr>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p w:rsidR="004460AC" w:rsidRPr="00B320BE" w:rsidRDefault="004460AC" w:rsidP="0078540E">
            <w:pPr>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CDP Climate Change Score</w:t>
            </w:r>
          </w:p>
        </w:tc>
      </w:tr>
      <w:tr w:rsidR="00776B98" w:rsidRPr="00B320BE" w:rsidTr="0078540E">
        <w:trPr>
          <w:trHeight w:val="959"/>
        </w:trPr>
        <w:tc>
          <w:tcPr>
            <w:cnfStyle w:val="001000000000" w:firstRow="0" w:lastRow="0" w:firstColumn="1" w:lastColumn="0" w:oddVBand="0" w:evenVBand="0" w:oddHBand="0" w:evenHBand="0" w:firstRowFirstColumn="0" w:firstRowLastColumn="0" w:lastRowFirstColumn="0" w:lastRowLastColumn="0"/>
            <w:tcW w:w="4693" w:type="dxa"/>
            <w:shd w:val="clear" w:color="auto" w:fill="C5E0B3" w:themeFill="accent6" w:themeFillTint="66"/>
          </w:tcPr>
          <w:p w:rsidR="004460AC" w:rsidRPr="00B320BE" w:rsidRDefault="004460AC" w:rsidP="0078540E">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Intesa Sanpaolo</w:t>
            </w:r>
          </w:p>
        </w:tc>
        <w:tc>
          <w:tcPr>
            <w:tcW w:w="4693" w:type="dxa"/>
            <w:shd w:val="clear" w:color="auto" w:fill="C5E0B3" w:themeFill="accent6" w:themeFillTint="66"/>
          </w:tcPr>
          <w:p w:rsidR="004460AC" w:rsidRPr="00B320BE" w:rsidRDefault="004460AC" w:rsidP="0078540E">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w:t>
            </w:r>
          </w:p>
        </w:tc>
      </w:tr>
      <w:tr w:rsidR="00776B98" w:rsidRPr="00B320BE" w:rsidTr="0078540E">
        <w:trPr>
          <w:trHeight w:val="927"/>
        </w:trPr>
        <w:tc>
          <w:tcPr>
            <w:cnfStyle w:val="001000000000" w:firstRow="0" w:lastRow="0" w:firstColumn="1" w:lastColumn="0" w:oddVBand="0" w:evenVBand="0" w:oddHBand="0" w:evenHBand="0" w:firstRowFirstColumn="0" w:firstRowLastColumn="0" w:lastRowFirstColumn="0" w:lastRowLastColumn="0"/>
            <w:tcW w:w="4693" w:type="dxa"/>
            <w:shd w:val="clear" w:color="auto" w:fill="C5E0B3" w:themeFill="accent6" w:themeFillTint="66"/>
          </w:tcPr>
          <w:p w:rsidR="004460AC" w:rsidRPr="00B320BE" w:rsidRDefault="004460AC" w:rsidP="0078540E">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Nordea Bank</w:t>
            </w:r>
          </w:p>
        </w:tc>
        <w:tc>
          <w:tcPr>
            <w:tcW w:w="4693" w:type="dxa"/>
            <w:shd w:val="clear" w:color="auto" w:fill="C5E0B3" w:themeFill="accent6" w:themeFillTint="66"/>
          </w:tcPr>
          <w:p w:rsidR="004460AC" w:rsidRPr="00B320BE" w:rsidRDefault="004460AC" w:rsidP="0078540E">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B</w:t>
            </w:r>
          </w:p>
        </w:tc>
      </w:tr>
      <w:tr w:rsidR="00776B98" w:rsidRPr="00B320BE" w:rsidTr="0078540E">
        <w:trPr>
          <w:trHeight w:val="927"/>
        </w:trPr>
        <w:tc>
          <w:tcPr>
            <w:cnfStyle w:val="001000000000" w:firstRow="0" w:lastRow="0" w:firstColumn="1" w:lastColumn="0" w:oddVBand="0" w:evenVBand="0" w:oddHBand="0" w:evenHBand="0" w:firstRowFirstColumn="0" w:firstRowLastColumn="0" w:lastRowFirstColumn="0" w:lastRowLastColumn="0"/>
            <w:tcW w:w="4693" w:type="dxa"/>
            <w:shd w:val="clear" w:color="auto" w:fill="C5E0B3" w:themeFill="accent6" w:themeFillTint="66"/>
          </w:tcPr>
          <w:p w:rsidR="004460AC" w:rsidRPr="00B320BE" w:rsidRDefault="004460AC" w:rsidP="0078540E">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ING Group</w:t>
            </w:r>
          </w:p>
        </w:tc>
        <w:tc>
          <w:tcPr>
            <w:tcW w:w="4693" w:type="dxa"/>
            <w:shd w:val="clear" w:color="auto" w:fill="C5E0B3" w:themeFill="accent6" w:themeFillTint="66"/>
          </w:tcPr>
          <w:p w:rsidR="004460AC" w:rsidRPr="00B320BE" w:rsidRDefault="004460AC" w:rsidP="0078540E">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B-</w:t>
            </w:r>
          </w:p>
        </w:tc>
      </w:tr>
      <w:tr w:rsidR="00776B98" w:rsidRPr="00B320BE" w:rsidTr="0078540E">
        <w:trPr>
          <w:trHeight w:val="927"/>
        </w:trPr>
        <w:tc>
          <w:tcPr>
            <w:cnfStyle w:val="001000000000" w:firstRow="0" w:lastRow="0" w:firstColumn="1" w:lastColumn="0" w:oddVBand="0" w:evenVBand="0" w:oddHBand="0" w:evenHBand="0" w:firstRowFirstColumn="0" w:firstRowLastColumn="0" w:lastRowFirstColumn="0" w:lastRowLastColumn="0"/>
            <w:tcW w:w="4693" w:type="dxa"/>
            <w:shd w:val="clear" w:color="auto" w:fill="C5E0B3" w:themeFill="accent6" w:themeFillTint="66"/>
          </w:tcPr>
          <w:p w:rsidR="004460AC" w:rsidRPr="00B320BE" w:rsidRDefault="004460AC" w:rsidP="0078540E">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BNP Paribas</w:t>
            </w:r>
          </w:p>
        </w:tc>
        <w:tc>
          <w:tcPr>
            <w:tcW w:w="4693" w:type="dxa"/>
            <w:shd w:val="clear" w:color="auto" w:fill="C5E0B3" w:themeFill="accent6" w:themeFillTint="66"/>
          </w:tcPr>
          <w:p w:rsidR="004460AC" w:rsidRPr="00B320BE" w:rsidRDefault="004460AC" w:rsidP="0078540E">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w:t>
            </w:r>
          </w:p>
        </w:tc>
      </w:tr>
      <w:tr w:rsidR="00776B98" w:rsidRPr="00B320BE" w:rsidTr="0078540E">
        <w:trPr>
          <w:trHeight w:val="927"/>
        </w:trPr>
        <w:tc>
          <w:tcPr>
            <w:cnfStyle w:val="001000000000" w:firstRow="0" w:lastRow="0" w:firstColumn="1" w:lastColumn="0" w:oddVBand="0" w:evenVBand="0" w:oddHBand="0" w:evenHBand="0" w:firstRowFirstColumn="0" w:firstRowLastColumn="0" w:lastRowFirstColumn="0" w:lastRowLastColumn="0"/>
            <w:tcW w:w="4693" w:type="dxa"/>
            <w:shd w:val="clear" w:color="auto" w:fill="C5E0B3" w:themeFill="accent6" w:themeFillTint="66"/>
          </w:tcPr>
          <w:p w:rsidR="004460AC" w:rsidRPr="00B320BE" w:rsidRDefault="004460AC" w:rsidP="0078540E">
            <w:pPr>
              <w:spacing w:after="160" w:line="360" w:lineRule="auto"/>
              <w:jc w:val="center"/>
              <w:rPr>
                <w:rFonts w:ascii="Times New Roman" w:hAnsi="Times New Roman" w:cs="Times New Roman"/>
                <w:b w:val="0"/>
                <w:color w:val="000000" w:themeColor="text1"/>
                <w:sz w:val="24"/>
                <w:szCs w:val="24"/>
              </w:rPr>
            </w:pPr>
            <w:r w:rsidRPr="00B320BE">
              <w:rPr>
                <w:rFonts w:ascii="Times New Roman" w:hAnsi="Times New Roman" w:cs="Times New Roman"/>
                <w:b w:val="0"/>
                <w:color w:val="000000" w:themeColor="text1"/>
                <w:sz w:val="24"/>
                <w:szCs w:val="24"/>
              </w:rPr>
              <w:t>BCO Santander</w:t>
            </w:r>
          </w:p>
        </w:tc>
        <w:tc>
          <w:tcPr>
            <w:tcW w:w="4693" w:type="dxa"/>
            <w:shd w:val="clear" w:color="auto" w:fill="C5E0B3" w:themeFill="accent6" w:themeFillTint="66"/>
          </w:tcPr>
          <w:p w:rsidR="004460AC" w:rsidRPr="00B320BE" w:rsidRDefault="004460AC" w:rsidP="0078540E">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A</w:t>
            </w:r>
          </w:p>
        </w:tc>
      </w:tr>
    </w:tbl>
    <w:p w:rsidR="004460AC" w:rsidRPr="00B320BE" w:rsidRDefault="004460AC" w:rsidP="00B320BE">
      <w:pPr>
        <w:spacing w:line="360" w:lineRule="auto"/>
        <w:jc w:val="both"/>
        <w:rPr>
          <w:rFonts w:ascii="Times New Roman" w:hAnsi="Times New Roman" w:cs="Times New Roman"/>
          <w:color w:val="000000" w:themeColor="text1"/>
          <w:sz w:val="24"/>
          <w:szCs w:val="24"/>
        </w:rPr>
      </w:pPr>
    </w:p>
    <w:p w:rsidR="00134E6B" w:rsidRPr="00B320BE" w:rsidRDefault="00134E6B" w:rsidP="00B320BE">
      <w:pPr>
        <w:spacing w:line="360" w:lineRule="auto"/>
        <w:jc w:val="both"/>
        <w:rPr>
          <w:rFonts w:ascii="Times New Roman" w:hAnsi="Times New Roman" w:cs="Times New Roman"/>
          <w:color w:val="000000" w:themeColor="text1"/>
          <w:sz w:val="24"/>
          <w:szCs w:val="24"/>
        </w:rPr>
      </w:pPr>
    </w:p>
    <w:p w:rsidR="004460AC" w:rsidRPr="001816C6" w:rsidRDefault="004460AC" w:rsidP="00B320BE">
      <w:pPr>
        <w:pStyle w:val="Heading2"/>
        <w:spacing w:line="360" w:lineRule="auto"/>
        <w:jc w:val="both"/>
        <w:rPr>
          <w:rFonts w:ascii="Times New Roman" w:hAnsi="Times New Roman" w:cs="Times New Roman"/>
          <w:b/>
          <w:color w:val="000000" w:themeColor="text1"/>
          <w:sz w:val="24"/>
          <w:szCs w:val="24"/>
        </w:rPr>
      </w:pPr>
      <w:bookmarkStart w:id="187" w:name="_Toc156676335"/>
      <w:bookmarkStart w:id="188" w:name="_Toc156846029"/>
      <w:r w:rsidRPr="001816C6">
        <w:rPr>
          <w:rFonts w:ascii="Times New Roman" w:hAnsi="Times New Roman" w:cs="Times New Roman"/>
          <w:b/>
          <w:color w:val="000000" w:themeColor="text1"/>
          <w:sz w:val="24"/>
          <w:szCs w:val="24"/>
        </w:rPr>
        <w:t>Comprehensive Analysis of EU Directives, ESG Reporting, and Market Dynamics</w:t>
      </w:r>
      <w:bookmarkEnd w:id="187"/>
      <w:bookmarkEnd w:id="188"/>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Directive 2014/95/EU, formerly referred to as the Non-Financial Reporting Directive (NFRD), provides requirements for the disclosure of diversity and non-financial information by some large firms. Several large businesses are required by this order to make public their policies and practices on human rights, corruption, the environment, and social and environmental issues. Information like this assists lawmakers, clients, investors, and civil society groups evaluate the non-financial performance of large enterprises, which in turn encourages businesses to embrace a responsible business strategy. Listed companies, insurance companies, banks, and other businesses designated as public-interest institutions by national authorities are among the 11,700 major firms and organizations across the EU that are currently subject to the EU's non-financial reporting regulations. These organizatio</w:t>
      </w:r>
      <w:r w:rsidR="00C9053A" w:rsidRPr="00B320BE">
        <w:rPr>
          <w:rFonts w:ascii="Times New Roman" w:hAnsi="Times New Roman" w:cs="Times New Roman"/>
          <w:color w:val="000000" w:themeColor="text1"/>
          <w:sz w:val="24"/>
          <w:szCs w:val="24"/>
        </w:rPr>
        <w:t>ns have more than 500 employees (Sierra-Garcia, Garcia-Benau and Bollas-Araya, 2020).</w:t>
      </w:r>
    </w:p>
    <w:p w:rsidR="00134E6B" w:rsidRPr="00B320BE" w:rsidRDefault="00134E6B" w:rsidP="00B320BE">
      <w:pPr>
        <w:spacing w:line="360" w:lineRule="auto"/>
        <w:jc w:val="both"/>
        <w:rPr>
          <w:rFonts w:ascii="Times New Roman" w:hAnsi="Times New Roman" w:cs="Times New Roman"/>
          <w:color w:val="000000" w:themeColor="text1"/>
          <w:sz w:val="24"/>
          <w:szCs w:val="24"/>
        </w:rPr>
      </w:pPr>
    </w:p>
    <w:p w:rsidR="004460AC" w:rsidRPr="001816C6" w:rsidRDefault="004460AC" w:rsidP="00B320BE">
      <w:pPr>
        <w:pStyle w:val="Heading2"/>
        <w:spacing w:line="360" w:lineRule="auto"/>
        <w:jc w:val="both"/>
        <w:rPr>
          <w:rFonts w:ascii="Times New Roman" w:hAnsi="Times New Roman" w:cs="Times New Roman"/>
          <w:b/>
          <w:color w:val="000000" w:themeColor="text1"/>
          <w:sz w:val="24"/>
          <w:szCs w:val="24"/>
        </w:rPr>
      </w:pPr>
      <w:bookmarkStart w:id="189" w:name="_Toc156676336"/>
      <w:bookmarkStart w:id="190" w:name="_Toc156846030"/>
      <w:r w:rsidRPr="001816C6">
        <w:rPr>
          <w:rFonts w:ascii="Times New Roman" w:hAnsi="Times New Roman" w:cs="Times New Roman"/>
          <w:b/>
          <w:color w:val="000000" w:themeColor="text1"/>
          <w:sz w:val="24"/>
          <w:szCs w:val="24"/>
        </w:rPr>
        <w:t>Current Regulations and Figures</w:t>
      </w:r>
      <w:bookmarkEnd w:id="189"/>
      <w:bookmarkEnd w:id="190"/>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In April 2021, the European Commission approved a proposal for a Corporate Sustainability Reporting Directive (CSRD). This will broaden the present NFRD reporting obligations to include all major enterprises and corporations listed on regulated markets. The CSRD sets extremely rigorous reporting requirements and requires audited data to be submitted in line with EU sustainability reporting standar</w:t>
      </w:r>
      <w:r w:rsidR="00BD3839" w:rsidRPr="00B320BE">
        <w:rPr>
          <w:rFonts w:ascii="Times New Roman" w:hAnsi="Times New Roman" w:cs="Times New Roman"/>
          <w:color w:val="000000" w:themeColor="text1"/>
          <w:sz w:val="24"/>
          <w:szCs w:val="24"/>
        </w:rPr>
        <w:t>ds (Breijer and Orij, 2022).</w:t>
      </w:r>
    </w:p>
    <w:p w:rsidR="004460AC" w:rsidRPr="00B320BE" w:rsidRDefault="005B21F3"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noProof/>
          <w:color w:val="000000" w:themeColor="text1"/>
          <w:sz w:val="24"/>
          <w:szCs w:val="24"/>
        </w:rPr>
        <w:drawing>
          <wp:anchor distT="0" distB="0" distL="114300" distR="114300" simplePos="0" relativeHeight="251662336" behindDoc="0" locked="0" layoutInCell="1" allowOverlap="1" wp14:anchorId="1B3B0422" wp14:editId="421A570E">
            <wp:simplePos x="0" y="0"/>
            <wp:positionH relativeFrom="column">
              <wp:posOffset>-47625</wp:posOffset>
            </wp:positionH>
            <wp:positionV relativeFrom="paragraph">
              <wp:posOffset>675640</wp:posOffset>
            </wp:positionV>
            <wp:extent cx="6018530" cy="3918585"/>
            <wp:effectExtent l="76200" t="76200" r="134620" b="13906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BEBA8EAE-BF5A-486C-A8C5-ECC9F3942E4B}">
                          <a14:imgProps xmlns:a14="http://schemas.microsoft.com/office/drawing/2010/main">
                            <a14:imgLayer r:embed="rId4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6018530" cy="39185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4460AC" w:rsidRPr="00B320BE">
        <w:rPr>
          <w:rFonts w:ascii="Times New Roman" w:hAnsi="Times New Roman" w:cs="Times New Roman"/>
          <w:color w:val="000000" w:themeColor="text1"/>
          <w:sz w:val="24"/>
          <w:szCs w:val="24"/>
        </w:rPr>
        <w:t xml:space="preserve">Figure: </w:t>
      </w:r>
      <w:r w:rsidR="004460AC" w:rsidRPr="00B320BE">
        <w:rPr>
          <w:rFonts w:ascii="Times New Roman" w:hAnsi="Times New Roman" w:cs="Times New Roman"/>
          <w:i/>
          <w:color w:val="000000" w:themeColor="text1"/>
          <w:sz w:val="24"/>
          <w:szCs w:val="24"/>
        </w:rPr>
        <w:t>“Breakdown of the entities in the database divided by sector and origin (colors). The y-axes report the absolute number of the entities from the corresponding sector.”</w:t>
      </w:r>
      <w:r w:rsidR="004460AC" w:rsidRPr="00B320BE">
        <w:rPr>
          <w:rFonts w:ascii="Times New Roman" w:hAnsi="Times New Roman" w:cs="Times New Roman"/>
          <w:color w:val="000000" w:themeColor="text1"/>
          <w:sz w:val="24"/>
          <w:szCs w:val="24"/>
        </w:rPr>
        <w:t xml:space="preserve"> </w:t>
      </w:r>
    </w:p>
    <w:p w:rsidR="005B21F3" w:rsidRDefault="005B21F3" w:rsidP="005B21F3">
      <w:pPr>
        <w:spacing w:line="360" w:lineRule="auto"/>
        <w:rPr>
          <w:rFonts w:ascii="Times New Roman" w:hAnsi="Times New Roman" w:cs="Times New Roman"/>
          <w:color w:val="000000" w:themeColor="text1"/>
          <w:sz w:val="24"/>
          <w:szCs w:val="24"/>
        </w:rPr>
      </w:pPr>
      <w:r>
        <w:rPr>
          <w:noProof/>
        </w:rPr>
        <mc:AlternateContent>
          <mc:Choice Requires="wps">
            <w:drawing>
              <wp:anchor distT="0" distB="0" distL="114300" distR="114300" simplePos="0" relativeHeight="251666432" behindDoc="0" locked="0" layoutInCell="1" allowOverlap="1" wp14:anchorId="078A919A" wp14:editId="6A00686E">
                <wp:simplePos x="0" y="0"/>
                <wp:positionH relativeFrom="column">
                  <wp:posOffset>-52705</wp:posOffset>
                </wp:positionH>
                <wp:positionV relativeFrom="paragraph">
                  <wp:posOffset>4281194</wp:posOffset>
                </wp:positionV>
                <wp:extent cx="6018530" cy="635"/>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6018530" cy="635"/>
                        </a:xfrm>
                        <a:prstGeom prst="rect">
                          <a:avLst/>
                        </a:prstGeom>
                        <a:solidFill>
                          <a:prstClr val="white"/>
                        </a:solidFill>
                        <a:ln>
                          <a:noFill/>
                        </a:ln>
                      </wps:spPr>
                      <wps:txbx>
                        <w:txbxContent>
                          <w:p w:rsidR="0028176D" w:rsidRPr="00776B98" w:rsidRDefault="0028176D" w:rsidP="00776B98">
                            <w:pPr>
                              <w:pStyle w:val="Caption"/>
                              <w:rPr>
                                <w:rFonts w:ascii="Times New Roman" w:hAnsi="Times New Roman" w:cs="Times New Roman"/>
                                <w:b/>
                                <w:i w:val="0"/>
                                <w:noProof/>
                                <w:color w:val="000000" w:themeColor="text1"/>
                                <w:sz w:val="36"/>
                                <w:szCs w:val="24"/>
                              </w:rPr>
                            </w:pPr>
                            <w:bookmarkStart w:id="191" w:name="_Toc156846096"/>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20</w:t>
                            </w:r>
                            <w:bookmarkEnd w:id="191"/>
                            <w:r w:rsidRPr="00776B98">
                              <w:rPr>
                                <w:rFonts w:ascii="Times New Roman" w:hAnsi="Times New Roman" w:cs="Times New Roman"/>
                                <w:b/>
                                <w:i w:val="0"/>
                                <w:color w:val="000000" w:themeColor="text1"/>
                                <w:sz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8A919A" id="Text Box 11" o:spid="_x0000_s1032" type="#_x0000_t202" style="position:absolute;margin-left:-4.15pt;margin-top:337.1pt;width:473.9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" stroked="f">
                <v:textbox style="mso-fit-shape-to-text:t" inset="0,0,0,0">
                  <w:txbxContent>
                    <w:p w:rsidR="0028176D" w:rsidRPr="00776B98" w:rsidRDefault="0028176D" w:rsidP="00776B98">
                      <w:pPr>
                        <w:pStyle w:val="Caption"/>
                        <w:rPr>
                          <w:rFonts w:ascii="Times New Roman" w:hAnsi="Times New Roman" w:cs="Times New Roman"/>
                          <w:b/>
                          <w:i w:val="0"/>
                          <w:noProof/>
                          <w:color w:val="000000" w:themeColor="text1"/>
                          <w:sz w:val="36"/>
                          <w:szCs w:val="24"/>
                        </w:rPr>
                      </w:pPr>
                      <w:bookmarkStart w:id="192" w:name="_Toc156846096"/>
                      <w:r w:rsidRPr="00776B98">
                        <w:rPr>
                          <w:rFonts w:ascii="Times New Roman" w:hAnsi="Times New Roman" w:cs="Times New Roman"/>
                          <w:b/>
                          <w:i w:val="0"/>
                          <w:color w:val="000000" w:themeColor="text1"/>
                          <w:sz w:val="24"/>
                        </w:rPr>
                        <w:t xml:space="preserve">Figure </w:t>
                      </w:r>
                      <w:r w:rsidRPr="00776B98">
                        <w:rPr>
                          <w:rFonts w:ascii="Times New Roman" w:hAnsi="Times New Roman" w:cs="Times New Roman"/>
                          <w:b/>
                          <w:i w:val="0"/>
                          <w:color w:val="000000" w:themeColor="text1"/>
                          <w:sz w:val="24"/>
                        </w:rPr>
                        <w:fldChar w:fldCharType="begin"/>
                      </w:r>
                      <w:r w:rsidRPr="00776B98">
                        <w:rPr>
                          <w:rFonts w:ascii="Times New Roman" w:hAnsi="Times New Roman" w:cs="Times New Roman"/>
                          <w:b/>
                          <w:i w:val="0"/>
                          <w:color w:val="000000" w:themeColor="text1"/>
                          <w:sz w:val="24"/>
                        </w:rPr>
                        <w:instrText xml:space="preserve"> SEQ Figure \* ARABIC </w:instrText>
                      </w:r>
                      <w:r w:rsidRPr="00776B98">
                        <w:rPr>
                          <w:rFonts w:ascii="Times New Roman" w:hAnsi="Times New Roman" w:cs="Times New Roman"/>
                          <w:b/>
                          <w:i w:val="0"/>
                          <w:color w:val="000000" w:themeColor="text1"/>
                          <w:sz w:val="24"/>
                        </w:rPr>
                        <w:fldChar w:fldCharType="separate"/>
                      </w:r>
                      <w:r w:rsidR="00FE2A81">
                        <w:rPr>
                          <w:rFonts w:ascii="Times New Roman" w:hAnsi="Times New Roman" w:cs="Times New Roman"/>
                          <w:b/>
                          <w:i w:val="0"/>
                          <w:noProof/>
                          <w:color w:val="000000" w:themeColor="text1"/>
                          <w:sz w:val="24"/>
                        </w:rPr>
                        <w:t>20</w:t>
                      </w:r>
                      <w:bookmarkEnd w:id="192"/>
                      <w:r w:rsidRPr="00776B98">
                        <w:rPr>
                          <w:rFonts w:ascii="Times New Roman" w:hAnsi="Times New Roman" w:cs="Times New Roman"/>
                          <w:b/>
                          <w:i w:val="0"/>
                          <w:color w:val="000000" w:themeColor="text1"/>
                          <w:sz w:val="24"/>
                        </w:rPr>
                        <w:fldChar w:fldCharType="end"/>
                      </w:r>
                    </w:p>
                  </w:txbxContent>
                </v:textbox>
                <w10:wrap type="square"/>
              </v:shape>
            </w:pict>
          </mc:Fallback>
        </mc:AlternateContent>
      </w:r>
    </w:p>
    <w:p w:rsidR="00BD3839" w:rsidRPr="00B320BE" w:rsidRDefault="00BD3839" w:rsidP="005B21F3">
      <w:pPr>
        <w:spacing w:line="360" w:lineRule="auto"/>
        <w:jc w:val="center"/>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Source: (Mandas, et al., 2023)</w:t>
      </w:r>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lastRenderedPageBreak/>
        <w:t>Figure shows that out of 11 entities and firms chosen for the study, most are in the financial sector (19% of all organizations). There is a 31% weight for Europe, a 35% weight for Asia and the Pacific, and a 25% weight for North America.</w:t>
      </w:r>
    </w:p>
    <w:p w:rsidR="00134E6B" w:rsidRPr="00B320BE" w:rsidRDefault="00134E6B" w:rsidP="00B320BE">
      <w:pPr>
        <w:spacing w:line="360" w:lineRule="auto"/>
        <w:jc w:val="both"/>
        <w:rPr>
          <w:rFonts w:ascii="Times New Roman" w:hAnsi="Times New Roman" w:cs="Times New Roman"/>
          <w:color w:val="000000" w:themeColor="text1"/>
          <w:sz w:val="24"/>
          <w:szCs w:val="24"/>
        </w:rPr>
      </w:pPr>
    </w:p>
    <w:p w:rsidR="004460AC" w:rsidRPr="001816C6" w:rsidRDefault="004460AC" w:rsidP="00B320BE">
      <w:pPr>
        <w:pStyle w:val="Heading2"/>
        <w:spacing w:line="360" w:lineRule="auto"/>
        <w:jc w:val="both"/>
        <w:rPr>
          <w:rFonts w:ascii="Times New Roman" w:hAnsi="Times New Roman" w:cs="Times New Roman"/>
          <w:b/>
          <w:color w:val="000000" w:themeColor="text1"/>
          <w:sz w:val="24"/>
          <w:szCs w:val="24"/>
        </w:rPr>
      </w:pPr>
      <w:bookmarkStart w:id="193" w:name="_Toc156676337"/>
      <w:bookmarkStart w:id="194" w:name="_Toc156846031"/>
      <w:r w:rsidRPr="001816C6">
        <w:rPr>
          <w:rFonts w:ascii="Times New Roman" w:hAnsi="Times New Roman" w:cs="Times New Roman"/>
          <w:b/>
          <w:color w:val="000000" w:themeColor="text1"/>
          <w:sz w:val="24"/>
          <w:szCs w:val="24"/>
        </w:rPr>
        <w:t>ESG Reporting Frameworks and Sustainable Development Goals</w:t>
      </w:r>
      <w:bookmarkEnd w:id="193"/>
      <w:bookmarkEnd w:id="194"/>
    </w:p>
    <w:p w:rsidR="004460AC"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majority of businesses use well-known and well-established ESG monitoring and reporting frameworks, like the Global Reporting Initiative (GRI), which helps businesses, governments, and other organizations understand and communicate their impacts on issues like human rights, climate change, and corruption (GRI, 2023) Investors, insurers, lenders, and other providers of financial capital are becoming more aware of the impact of environmental, social, and governance (ESG) issues on company financial results, driving demand for standardized reporting of ESG data. The Sustainability Accounting Standards Board (SASB) is a non-profit organization dedicated to the development of sustainable accounting standards. The Financial Stability Board created the Task Force on Climate-related Financial Disclosures (TCFD) to improve and increase the reporting of financial data connected to climate change (Task Force on Climate-related Financial Disclosures, 2023). 'Measuring Stakeholder Capitalism: Towards Common Metrics and Consistent Reporting of Sustainable Value Creation’ (World Economic Forum, 2020) and the World Economic Forum's (WEF) indicators, all of whi</w:t>
      </w:r>
      <w:r w:rsidR="00BD3839" w:rsidRPr="00B320BE">
        <w:rPr>
          <w:rFonts w:ascii="Times New Roman" w:hAnsi="Times New Roman" w:cs="Times New Roman"/>
          <w:color w:val="000000" w:themeColor="text1"/>
          <w:sz w:val="24"/>
          <w:szCs w:val="24"/>
        </w:rPr>
        <w:t>ch are in line with the 17 SDGs (Cuomo et al., 2022).</w:t>
      </w:r>
    </w:p>
    <w:p w:rsidR="006E3E77" w:rsidRDefault="006E3E77" w:rsidP="006E3E77">
      <w:pPr>
        <w:keepNext/>
        <w:spacing w:line="360" w:lineRule="auto"/>
        <w:jc w:val="both"/>
      </w:pPr>
      <w:r w:rsidRPr="006E3E77">
        <w:rPr>
          <w:rFonts w:ascii="Times New Roman" w:hAnsi="Times New Roman" w:cs="Times New Roman"/>
          <w:color w:val="000000" w:themeColor="text1"/>
          <w:sz w:val="24"/>
          <w:szCs w:val="24"/>
        </w:rPr>
        <w:lastRenderedPageBreak/>
        <w:drawing>
          <wp:inline distT="0" distB="0" distL="0" distR="0" wp14:anchorId="2CB3399A" wp14:editId="72B58329">
            <wp:extent cx="5943325" cy="4940135"/>
            <wp:effectExtent l="76200" t="76200" r="133985" b="127635"/>
            <wp:docPr id="34" name="Picture 34" descr="https://lingarogroup.com/hs-fs/hubfs/ESG_GRAPH%20(1).png?width=1241&amp;height=960&amp;name=ESG_GRAPH%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ingarogroup.com/hs-fs/hubfs/ESG_GRAPH%20(1).png?width=1241&amp;height=960&amp;name=ESG_GRAPH%20(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6509" cy="49427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E3E77" w:rsidRPr="006E3E77" w:rsidRDefault="006E3E77" w:rsidP="006E3E77">
      <w:pPr>
        <w:pStyle w:val="Caption"/>
        <w:jc w:val="both"/>
        <w:rPr>
          <w:rFonts w:ascii="Times New Roman" w:hAnsi="Times New Roman" w:cs="Times New Roman"/>
          <w:b/>
          <w:i w:val="0"/>
          <w:color w:val="000000" w:themeColor="text1"/>
          <w:sz w:val="24"/>
          <w:szCs w:val="24"/>
        </w:rPr>
      </w:pPr>
      <w:bookmarkStart w:id="195" w:name="_Toc156846097"/>
      <w:r w:rsidRPr="006E3E77">
        <w:rPr>
          <w:rFonts w:ascii="Times New Roman" w:hAnsi="Times New Roman" w:cs="Times New Roman"/>
          <w:b/>
          <w:i w:val="0"/>
          <w:color w:val="auto"/>
          <w:sz w:val="24"/>
        </w:rPr>
        <w:t xml:space="preserve">Figure </w:t>
      </w:r>
      <w:r w:rsidRPr="006E3E77">
        <w:rPr>
          <w:rFonts w:ascii="Times New Roman" w:hAnsi="Times New Roman" w:cs="Times New Roman"/>
          <w:b/>
          <w:i w:val="0"/>
          <w:color w:val="auto"/>
          <w:sz w:val="24"/>
        </w:rPr>
        <w:fldChar w:fldCharType="begin"/>
      </w:r>
      <w:r w:rsidRPr="006E3E77">
        <w:rPr>
          <w:rFonts w:ascii="Times New Roman" w:hAnsi="Times New Roman" w:cs="Times New Roman"/>
          <w:b/>
          <w:i w:val="0"/>
          <w:color w:val="auto"/>
          <w:sz w:val="24"/>
        </w:rPr>
        <w:instrText xml:space="preserve"> SEQ Figure \* ARABIC </w:instrText>
      </w:r>
      <w:r w:rsidRPr="006E3E77">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21</w:t>
      </w:r>
      <w:bookmarkEnd w:id="195"/>
      <w:r w:rsidRPr="006E3E77">
        <w:rPr>
          <w:rFonts w:ascii="Times New Roman" w:hAnsi="Times New Roman" w:cs="Times New Roman"/>
          <w:b/>
          <w:i w:val="0"/>
          <w:color w:val="auto"/>
          <w:sz w:val="24"/>
        </w:rPr>
        <w:fldChar w:fldCharType="end"/>
      </w:r>
    </w:p>
    <w:p w:rsidR="006E3E77" w:rsidRPr="00B320BE" w:rsidRDefault="006E3E77" w:rsidP="00B320BE">
      <w:pPr>
        <w:spacing w:line="360" w:lineRule="auto"/>
        <w:jc w:val="both"/>
        <w:rPr>
          <w:rFonts w:ascii="Times New Roman" w:hAnsi="Times New Roman" w:cs="Times New Roman"/>
          <w:color w:val="000000" w:themeColor="text1"/>
          <w:sz w:val="24"/>
          <w:szCs w:val="24"/>
        </w:rPr>
      </w:pPr>
    </w:p>
    <w:p w:rsidR="004460AC" w:rsidRPr="00B320BE" w:rsidRDefault="00B910FC" w:rsidP="00B320BE">
      <w:pPr>
        <w:spacing w:line="360" w:lineRule="auto"/>
        <w:jc w:val="both"/>
        <w:rPr>
          <w:rFonts w:ascii="Times New Roman" w:hAnsi="Times New Roman" w:cs="Times New Roman"/>
          <w:color w:val="000000" w:themeColor="text1"/>
          <w:sz w:val="24"/>
          <w:szCs w:val="24"/>
        </w:rPr>
      </w:pPr>
      <w:r w:rsidRPr="00B910FC">
        <w:rPr>
          <w:rFonts w:ascii="Times New Roman" w:hAnsi="Times New Roman" w:cs="Times New Roman"/>
          <w:color w:val="000000" w:themeColor="text1"/>
          <w:sz w:val="24"/>
          <w:szCs w:val="24"/>
        </w:rPr>
        <w:t>The research is aware of the importance to measure harmony between 17 Sustainable Development Goals (SDGs) as outlined in the United Nations’ Agenda, which are incorporated into ESG reporting framework used by ESG Leaders. This point provides a crucial understanding of how companies adapt their operational processes to world-wide sustainability goals. It emphasizes the need for ESG frameworks in responding to and addressing these high-level SDGs. Data, thus, highlights the relation between ESG reporting practice and a broader sus</w:t>
      </w:r>
      <w:r>
        <w:rPr>
          <w:rFonts w:ascii="Times New Roman" w:hAnsi="Times New Roman" w:cs="Times New Roman"/>
          <w:color w:val="000000" w:themeColor="text1"/>
          <w:sz w:val="24"/>
          <w:szCs w:val="24"/>
        </w:rPr>
        <w:t xml:space="preserve">tainability agenda driven by UN </w:t>
      </w:r>
      <w:r w:rsidR="00BD3839" w:rsidRPr="00B320BE">
        <w:rPr>
          <w:rFonts w:ascii="Times New Roman" w:hAnsi="Times New Roman" w:cs="Times New Roman"/>
          <w:color w:val="000000" w:themeColor="text1"/>
          <w:sz w:val="24"/>
          <w:szCs w:val="24"/>
        </w:rPr>
        <w:t>(Cuomo et al., 2022).</w:t>
      </w:r>
    </w:p>
    <w:p w:rsidR="00134E6B" w:rsidRPr="00B320BE" w:rsidRDefault="00134E6B" w:rsidP="00B320BE">
      <w:pPr>
        <w:spacing w:line="360" w:lineRule="auto"/>
        <w:jc w:val="both"/>
        <w:rPr>
          <w:rFonts w:ascii="Times New Roman" w:hAnsi="Times New Roman" w:cs="Times New Roman"/>
          <w:color w:val="000000" w:themeColor="text1"/>
          <w:sz w:val="24"/>
          <w:szCs w:val="24"/>
        </w:rPr>
      </w:pPr>
    </w:p>
    <w:p w:rsidR="004460AC" w:rsidRPr="001816C6" w:rsidRDefault="004460AC" w:rsidP="00B320BE">
      <w:pPr>
        <w:pStyle w:val="Heading2"/>
        <w:spacing w:line="360" w:lineRule="auto"/>
        <w:jc w:val="both"/>
        <w:rPr>
          <w:rFonts w:ascii="Times New Roman" w:hAnsi="Times New Roman" w:cs="Times New Roman"/>
          <w:b/>
          <w:color w:val="000000" w:themeColor="text1"/>
          <w:sz w:val="24"/>
          <w:szCs w:val="24"/>
        </w:rPr>
      </w:pPr>
      <w:bookmarkStart w:id="196" w:name="_Toc156676338"/>
      <w:bookmarkStart w:id="197" w:name="_Toc156846032"/>
      <w:r w:rsidRPr="001816C6">
        <w:rPr>
          <w:rFonts w:ascii="Times New Roman" w:hAnsi="Times New Roman" w:cs="Times New Roman"/>
          <w:b/>
          <w:color w:val="000000" w:themeColor="text1"/>
          <w:sz w:val="24"/>
          <w:szCs w:val="24"/>
        </w:rPr>
        <w:lastRenderedPageBreak/>
        <w:t>Sustainability Departments in Corporations</w:t>
      </w:r>
      <w:bookmarkEnd w:id="196"/>
      <w:bookmarkEnd w:id="197"/>
    </w:p>
    <w:p w:rsidR="004460AC"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Recognizing the possible influence that sustainability has on their business plans, macro corporations have been very proactive in setting up sustainable departments. Hence, these dedicated departments contribute significantly to the process of incorporating sustainability concerns into business strategies; they also promote formation procedures attitudes, and practices that comply with responsible corporate behavior. On the other hand, micro and small businesses do not have sustainability departments due to their limited size and financial limitations. Therefore, these smaller organizations often resort to a constellation of tools that help evaluate and improve operational performance in sustainability. On the same note, findings from Annunziata et al. (2018) reveal that businesses seeking sustainability invest in resources and capacities to create a competitive advantage by responding adaptively and resourcefully to the chal</w:t>
      </w:r>
      <w:r w:rsidR="00BD3839" w:rsidRPr="00B320BE">
        <w:rPr>
          <w:rFonts w:ascii="Times New Roman" w:hAnsi="Times New Roman" w:cs="Times New Roman"/>
          <w:color w:val="000000" w:themeColor="text1"/>
          <w:sz w:val="24"/>
          <w:szCs w:val="24"/>
        </w:rPr>
        <w:t>lenges of sustainable practices (Landrum and Ohsowski, 2021).</w:t>
      </w:r>
    </w:p>
    <w:p w:rsidR="006E3E77" w:rsidRDefault="006E3E77" w:rsidP="006E3E77">
      <w:pPr>
        <w:keepNext/>
        <w:spacing w:line="360" w:lineRule="auto"/>
        <w:jc w:val="both"/>
      </w:pPr>
      <w:r w:rsidRPr="006E3E77">
        <w:rPr>
          <w:rFonts w:ascii="Times New Roman" w:hAnsi="Times New Roman" w:cs="Times New Roman"/>
          <w:color w:val="000000" w:themeColor="text1"/>
          <w:sz w:val="24"/>
          <w:szCs w:val="24"/>
        </w:rPr>
        <w:drawing>
          <wp:inline distT="0" distB="0" distL="0" distR="0" wp14:anchorId="3875C145" wp14:editId="188433D5">
            <wp:extent cx="5942824" cy="4334493"/>
            <wp:effectExtent l="76200" t="76200" r="134620" b="142875"/>
            <wp:docPr id="35" name="Picture 35" descr="https://www.ctbcholding.com/csr2018/en/images/sustainability/pic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ctbcholding.com/csr2018/en/images/sustainability/pic_01.png"/>
                    <pic:cNvPicPr>
                      <a:picLocks noChangeAspect="1" noChangeArrowheads="1"/>
                    </pic:cNvPicPr>
                  </pic:nvPicPr>
                  <pic:blipFill>
                    <a:blip r:embed="rId45">
                      <a:extLst>
                        <a:ext uri="{BEBA8EAE-BF5A-486C-A8C5-ECC9F3942E4B}">
                          <a14:imgProps xmlns:a14="http://schemas.microsoft.com/office/drawing/2010/main">
                            <a14:imgLayer r:embed="rId4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956283" cy="43443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34E6B" w:rsidRDefault="006E3E77" w:rsidP="006E3E77">
      <w:pPr>
        <w:pStyle w:val="Caption"/>
        <w:jc w:val="both"/>
        <w:rPr>
          <w:rFonts w:ascii="Times New Roman" w:hAnsi="Times New Roman" w:cs="Times New Roman"/>
          <w:b/>
          <w:i w:val="0"/>
          <w:color w:val="auto"/>
          <w:sz w:val="24"/>
        </w:rPr>
      </w:pPr>
      <w:bookmarkStart w:id="198" w:name="_Toc156846098"/>
      <w:r w:rsidRPr="006E3E77">
        <w:rPr>
          <w:rFonts w:ascii="Times New Roman" w:hAnsi="Times New Roman" w:cs="Times New Roman"/>
          <w:b/>
          <w:i w:val="0"/>
          <w:color w:val="auto"/>
          <w:sz w:val="24"/>
        </w:rPr>
        <w:t xml:space="preserve">Figure </w:t>
      </w:r>
      <w:r w:rsidRPr="006E3E77">
        <w:rPr>
          <w:rFonts w:ascii="Times New Roman" w:hAnsi="Times New Roman" w:cs="Times New Roman"/>
          <w:b/>
          <w:i w:val="0"/>
          <w:color w:val="auto"/>
          <w:sz w:val="24"/>
        </w:rPr>
        <w:fldChar w:fldCharType="begin"/>
      </w:r>
      <w:r w:rsidRPr="006E3E77">
        <w:rPr>
          <w:rFonts w:ascii="Times New Roman" w:hAnsi="Times New Roman" w:cs="Times New Roman"/>
          <w:b/>
          <w:i w:val="0"/>
          <w:color w:val="auto"/>
          <w:sz w:val="24"/>
        </w:rPr>
        <w:instrText xml:space="preserve"> SEQ Figure \* ARABIC </w:instrText>
      </w:r>
      <w:r w:rsidRPr="006E3E77">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22</w:t>
      </w:r>
      <w:bookmarkEnd w:id="198"/>
      <w:r w:rsidRPr="006E3E77">
        <w:rPr>
          <w:rFonts w:ascii="Times New Roman" w:hAnsi="Times New Roman" w:cs="Times New Roman"/>
          <w:b/>
          <w:i w:val="0"/>
          <w:color w:val="auto"/>
          <w:sz w:val="24"/>
        </w:rPr>
        <w:fldChar w:fldCharType="end"/>
      </w:r>
    </w:p>
    <w:p w:rsidR="006E3E77" w:rsidRPr="006E3E77" w:rsidRDefault="006E3E77" w:rsidP="006E3E77"/>
    <w:p w:rsidR="004460AC" w:rsidRPr="001816C6" w:rsidRDefault="004460AC" w:rsidP="00B320BE">
      <w:pPr>
        <w:pStyle w:val="Heading2"/>
        <w:spacing w:line="360" w:lineRule="auto"/>
        <w:jc w:val="both"/>
        <w:rPr>
          <w:rFonts w:ascii="Times New Roman" w:hAnsi="Times New Roman" w:cs="Times New Roman"/>
          <w:b/>
          <w:color w:val="000000" w:themeColor="text1"/>
          <w:sz w:val="24"/>
          <w:szCs w:val="24"/>
        </w:rPr>
      </w:pPr>
      <w:bookmarkStart w:id="199" w:name="_Toc156676339"/>
      <w:bookmarkStart w:id="200" w:name="_Toc156846033"/>
      <w:r w:rsidRPr="001816C6">
        <w:rPr>
          <w:rFonts w:ascii="Times New Roman" w:hAnsi="Times New Roman" w:cs="Times New Roman"/>
          <w:b/>
          <w:color w:val="000000" w:themeColor="text1"/>
          <w:sz w:val="24"/>
          <w:szCs w:val="24"/>
        </w:rPr>
        <w:t>SWOT Analysis</w:t>
      </w:r>
      <w:bookmarkEnd w:id="199"/>
      <w:bookmarkEnd w:id="200"/>
    </w:p>
    <w:p w:rsidR="00776B98"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SWOT is a strategic technique that helps managers make decisions based on more information and with greater precision. It displays the articulation between Strengths, Weaknesses, Opportunities, and Threats </w:t>
      </w:r>
      <w:r w:rsidR="00BD3839" w:rsidRPr="00B320BE">
        <w:rPr>
          <w:rFonts w:ascii="Times New Roman" w:hAnsi="Times New Roman" w:cs="Times New Roman"/>
          <w:color w:val="000000" w:themeColor="text1"/>
          <w:sz w:val="24"/>
          <w:szCs w:val="24"/>
        </w:rPr>
        <w:t>(Pereira et al., 2021).</w:t>
      </w:r>
    </w:p>
    <w:p w:rsidR="00776B98" w:rsidRDefault="00776B98" w:rsidP="00B320BE">
      <w:pPr>
        <w:spacing w:line="360" w:lineRule="auto"/>
        <w:jc w:val="both"/>
        <w:rPr>
          <w:rFonts w:ascii="Times New Roman" w:hAnsi="Times New Roman" w:cs="Times New Roman"/>
          <w:b/>
          <w:color w:val="000000" w:themeColor="text1"/>
          <w:sz w:val="24"/>
        </w:rPr>
      </w:pPr>
      <w:bookmarkStart w:id="201" w:name="_Toc156846134"/>
      <w:r w:rsidRPr="00776B98">
        <w:rPr>
          <w:rFonts w:ascii="Times New Roman" w:hAnsi="Times New Roman" w:cs="Times New Roman"/>
          <w:b/>
          <w:color w:val="000000" w:themeColor="text1"/>
          <w:sz w:val="24"/>
        </w:rPr>
        <w:t xml:space="preserve">Table </w:t>
      </w:r>
      <w:r w:rsidRPr="00776B98">
        <w:rPr>
          <w:rFonts w:ascii="Times New Roman" w:hAnsi="Times New Roman" w:cs="Times New Roman"/>
          <w:b/>
          <w:color w:val="000000" w:themeColor="text1"/>
          <w:sz w:val="24"/>
        </w:rPr>
        <w:fldChar w:fldCharType="begin"/>
      </w:r>
      <w:r w:rsidRPr="00776B98">
        <w:rPr>
          <w:rFonts w:ascii="Times New Roman" w:hAnsi="Times New Roman" w:cs="Times New Roman"/>
          <w:b/>
          <w:color w:val="000000" w:themeColor="text1"/>
          <w:sz w:val="24"/>
        </w:rPr>
        <w:instrText xml:space="preserve"> SEQ Table \* ARABIC </w:instrText>
      </w:r>
      <w:r w:rsidRPr="00776B98">
        <w:rPr>
          <w:rFonts w:ascii="Times New Roman" w:hAnsi="Times New Roman" w:cs="Times New Roman"/>
          <w:b/>
          <w:color w:val="000000" w:themeColor="text1"/>
          <w:sz w:val="24"/>
        </w:rPr>
        <w:fldChar w:fldCharType="separate"/>
      </w:r>
      <w:r w:rsidRPr="00776B98">
        <w:rPr>
          <w:rFonts w:ascii="Times New Roman" w:hAnsi="Times New Roman" w:cs="Times New Roman"/>
          <w:b/>
          <w:noProof/>
          <w:color w:val="000000" w:themeColor="text1"/>
          <w:sz w:val="24"/>
        </w:rPr>
        <w:t>6</w:t>
      </w:r>
      <w:r w:rsidRPr="00776B98">
        <w:rPr>
          <w:rFonts w:ascii="Times New Roman" w:hAnsi="Times New Roman" w:cs="Times New Roman"/>
          <w:b/>
          <w:color w:val="000000" w:themeColor="text1"/>
          <w:sz w:val="24"/>
        </w:rPr>
        <w:fldChar w:fldCharType="end"/>
      </w:r>
      <w:r w:rsidR="000A53B8">
        <w:rPr>
          <w:rFonts w:ascii="Times New Roman" w:hAnsi="Times New Roman" w:cs="Times New Roman"/>
          <w:b/>
          <w:color w:val="000000" w:themeColor="text1"/>
          <w:sz w:val="24"/>
        </w:rPr>
        <w:t>:</w:t>
      </w:r>
      <w:bookmarkEnd w:id="201"/>
    </w:p>
    <w:p w:rsidR="00B57ED9" w:rsidRDefault="00B57ED9" w:rsidP="00B320BE">
      <w:pPr>
        <w:spacing w:line="360" w:lineRule="auto"/>
        <w:jc w:val="both"/>
        <w:rPr>
          <w:rFonts w:ascii="Times New Roman" w:hAnsi="Times New Roman" w:cs="Times New Roman"/>
          <w:b/>
          <w:color w:val="000000" w:themeColor="text1"/>
          <w:sz w:val="24"/>
        </w:rPr>
      </w:pPr>
    </w:p>
    <w:p w:rsidR="00B57ED9" w:rsidRDefault="00B57ED9" w:rsidP="00B320BE">
      <w:pPr>
        <w:spacing w:line="360" w:lineRule="auto"/>
        <w:jc w:val="both"/>
        <w:rPr>
          <w:rFonts w:ascii="Times New Roman" w:hAnsi="Times New Roman" w:cs="Times New Roman"/>
          <w:b/>
          <w:color w:val="000000" w:themeColor="text1"/>
          <w:sz w:val="24"/>
        </w:rPr>
      </w:pPr>
    </w:p>
    <w:p w:rsidR="00B57ED9" w:rsidRDefault="00B57ED9" w:rsidP="00B320BE">
      <w:pPr>
        <w:spacing w:line="360" w:lineRule="auto"/>
        <w:jc w:val="both"/>
        <w:rPr>
          <w:rFonts w:ascii="Times New Roman" w:hAnsi="Times New Roman" w:cs="Times New Roman"/>
          <w:b/>
          <w:color w:val="000000" w:themeColor="text1"/>
          <w:sz w:val="24"/>
        </w:rPr>
      </w:pPr>
    </w:p>
    <w:p w:rsidR="00B57ED9" w:rsidRDefault="00B57ED9" w:rsidP="00B320BE">
      <w:pPr>
        <w:spacing w:line="360" w:lineRule="auto"/>
        <w:jc w:val="both"/>
        <w:rPr>
          <w:rFonts w:ascii="Times New Roman" w:hAnsi="Times New Roman" w:cs="Times New Roman"/>
          <w:b/>
          <w:color w:val="000000" w:themeColor="text1"/>
          <w:sz w:val="24"/>
        </w:rPr>
      </w:pPr>
    </w:p>
    <w:p w:rsidR="00B57ED9" w:rsidRDefault="00B57ED9" w:rsidP="00B320BE">
      <w:pPr>
        <w:spacing w:line="360" w:lineRule="auto"/>
        <w:jc w:val="both"/>
        <w:rPr>
          <w:rFonts w:ascii="Times New Roman" w:hAnsi="Times New Roman" w:cs="Times New Roman"/>
          <w:b/>
          <w:color w:val="000000" w:themeColor="text1"/>
          <w:sz w:val="24"/>
        </w:rPr>
      </w:pPr>
    </w:p>
    <w:p w:rsidR="00B57ED9" w:rsidRDefault="00B57ED9" w:rsidP="00B320BE">
      <w:pPr>
        <w:spacing w:line="360" w:lineRule="auto"/>
        <w:jc w:val="both"/>
        <w:rPr>
          <w:rFonts w:ascii="Times New Roman" w:hAnsi="Times New Roman" w:cs="Times New Roman"/>
          <w:b/>
          <w:color w:val="000000" w:themeColor="text1"/>
          <w:sz w:val="24"/>
        </w:rPr>
      </w:pPr>
    </w:p>
    <w:p w:rsidR="00B57ED9" w:rsidRDefault="00B57ED9" w:rsidP="00B320BE">
      <w:pPr>
        <w:spacing w:line="360" w:lineRule="auto"/>
        <w:jc w:val="both"/>
        <w:rPr>
          <w:rFonts w:ascii="Times New Roman" w:hAnsi="Times New Roman" w:cs="Times New Roman"/>
          <w:b/>
          <w:color w:val="000000" w:themeColor="text1"/>
          <w:sz w:val="24"/>
        </w:rPr>
      </w:pPr>
    </w:p>
    <w:p w:rsidR="00B57ED9" w:rsidRDefault="00B57ED9" w:rsidP="00B320BE">
      <w:pPr>
        <w:spacing w:line="360" w:lineRule="auto"/>
        <w:jc w:val="both"/>
        <w:rPr>
          <w:rFonts w:ascii="Times New Roman" w:hAnsi="Times New Roman" w:cs="Times New Roman"/>
          <w:b/>
          <w:color w:val="000000" w:themeColor="text1"/>
          <w:sz w:val="24"/>
        </w:rPr>
      </w:pPr>
    </w:p>
    <w:p w:rsidR="00B57ED9" w:rsidRDefault="00B57ED9" w:rsidP="00B320BE">
      <w:pPr>
        <w:spacing w:line="360" w:lineRule="auto"/>
        <w:jc w:val="both"/>
        <w:rPr>
          <w:rFonts w:ascii="Times New Roman" w:hAnsi="Times New Roman" w:cs="Times New Roman"/>
          <w:b/>
          <w:color w:val="000000" w:themeColor="text1"/>
          <w:sz w:val="24"/>
        </w:rPr>
      </w:pPr>
    </w:p>
    <w:p w:rsidR="00B57ED9" w:rsidRPr="006E3E77" w:rsidRDefault="00B57ED9" w:rsidP="006E3E77">
      <w:pPr>
        <w:tabs>
          <w:tab w:val="left" w:pos="1047"/>
        </w:tabs>
        <w:rPr>
          <w:rFonts w:ascii="Times New Roman" w:hAnsi="Times New Roman" w:cs="Times New Roman"/>
          <w:sz w:val="24"/>
        </w:rPr>
      </w:pPr>
    </w:p>
    <w:tbl>
      <w:tblPr>
        <w:tblStyle w:val="TableGrid1"/>
        <w:tblpPr w:leftFromText="180" w:rightFromText="180" w:vertAnchor="text" w:horzAnchor="margin" w:tblpXSpec="center" w:tblpY="-186"/>
        <w:tblW w:w="9914" w:type="dxa"/>
        <w:tblLook w:val="04A0" w:firstRow="1" w:lastRow="0" w:firstColumn="1" w:lastColumn="0" w:noHBand="0" w:noVBand="1"/>
      </w:tblPr>
      <w:tblGrid>
        <w:gridCol w:w="5084"/>
        <w:gridCol w:w="4830"/>
      </w:tblGrid>
      <w:tr w:rsidR="00B57ED9" w:rsidRPr="00B57ED9" w:rsidTr="00B910FC">
        <w:trPr>
          <w:trHeight w:val="364"/>
        </w:trPr>
        <w:tc>
          <w:tcPr>
            <w:tcW w:w="5084" w:type="dxa"/>
            <w:shd w:val="clear" w:color="auto" w:fill="FFC000" w:themeFill="accent4"/>
          </w:tcPr>
          <w:p w:rsidR="00B57ED9" w:rsidRPr="00B57ED9" w:rsidRDefault="00B57ED9" w:rsidP="00B57ED9">
            <w:p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b/>
                <w:bCs/>
                <w:color w:val="000000" w:themeColor="text1"/>
                <w:sz w:val="24"/>
                <w:szCs w:val="24"/>
              </w:rPr>
              <w:lastRenderedPageBreak/>
              <w:t>Strengths</w:t>
            </w:r>
          </w:p>
        </w:tc>
        <w:tc>
          <w:tcPr>
            <w:tcW w:w="4830" w:type="dxa"/>
            <w:shd w:val="clear" w:color="auto" w:fill="FFC000" w:themeFill="accent4"/>
          </w:tcPr>
          <w:p w:rsidR="00B57ED9" w:rsidRPr="00B57ED9" w:rsidRDefault="00B57ED9" w:rsidP="00B57ED9">
            <w:p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b/>
                <w:bCs/>
                <w:color w:val="000000" w:themeColor="text1"/>
                <w:sz w:val="24"/>
                <w:szCs w:val="24"/>
              </w:rPr>
              <w:t>Weakness</w:t>
            </w:r>
          </w:p>
        </w:tc>
      </w:tr>
      <w:tr w:rsidR="00B57ED9" w:rsidRPr="00B57ED9" w:rsidTr="00B910FC">
        <w:trPr>
          <w:trHeight w:val="4748"/>
        </w:trPr>
        <w:tc>
          <w:tcPr>
            <w:tcW w:w="5084" w:type="dxa"/>
            <w:shd w:val="clear" w:color="auto" w:fill="FFE599" w:themeFill="accent4" w:themeFillTint="66"/>
          </w:tcPr>
          <w:p w:rsidR="00B57ED9" w:rsidRPr="00B57ED9" w:rsidRDefault="00B57ED9" w:rsidP="00B57ED9">
            <w:pPr>
              <w:numPr>
                <w:ilvl w:val="0"/>
                <w:numId w:val="1"/>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Sustainable objectives.</w:t>
            </w:r>
          </w:p>
          <w:p w:rsidR="00B57ED9" w:rsidRPr="00B57ED9" w:rsidRDefault="00B57ED9" w:rsidP="00B57ED9">
            <w:pPr>
              <w:numPr>
                <w:ilvl w:val="0"/>
                <w:numId w:val="1"/>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Investment in asset management.</w:t>
            </w:r>
          </w:p>
          <w:p w:rsidR="00B57ED9" w:rsidRPr="00B57ED9" w:rsidRDefault="00B57ED9" w:rsidP="00B57ED9">
            <w:pPr>
              <w:numPr>
                <w:ilvl w:val="0"/>
                <w:numId w:val="1"/>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Financial basis planning.</w:t>
            </w:r>
          </w:p>
          <w:p w:rsidR="00B57ED9" w:rsidRPr="00B57ED9" w:rsidRDefault="00B57ED9" w:rsidP="00B57ED9">
            <w:pPr>
              <w:numPr>
                <w:ilvl w:val="0"/>
                <w:numId w:val="1"/>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 xml:space="preserve">ESG Product-linked investment options. </w:t>
            </w:r>
          </w:p>
          <w:p w:rsidR="00B57ED9" w:rsidRPr="00B57ED9" w:rsidRDefault="00B57ED9" w:rsidP="00B57ED9">
            <w:pPr>
              <w:numPr>
                <w:ilvl w:val="0"/>
                <w:numId w:val="1"/>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Integration of climate risk drivers with the risk assessment process and assessment process.</w:t>
            </w:r>
          </w:p>
          <w:p w:rsidR="00B57ED9" w:rsidRPr="00B57ED9" w:rsidRDefault="00B57ED9" w:rsidP="00B57ED9">
            <w:pPr>
              <w:numPr>
                <w:ilvl w:val="0"/>
                <w:numId w:val="1"/>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 xml:space="preserve">Integration of risk drivers with liquidity. </w:t>
            </w:r>
          </w:p>
          <w:p w:rsidR="00B57ED9" w:rsidRPr="00B57ED9" w:rsidRDefault="00B57ED9" w:rsidP="00B57ED9">
            <w:pPr>
              <w:numPr>
                <w:ilvl w:val="0"/>
                <w:numId w:val="1"/>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Plan and execute updates to the policy.</w:t>
            </w:r>
          </w:p>
          <w:p w:rsidR="00B57ED9" w:rsidRPr="00B57ED9" w:rsidRDefault="00B57ED9" w:rsidP="00B57ED9">
            <w:pPr>
              <w:numPr>
                <w:ilvl w:val="0"/>
                <w:numId w:val="1"/>
              </w:numPr>
              <w:spacing w:after="160" w:line="360" w:lineRule="auto"/>
              <w:jc w:val="both"/>
              <w:rPr>
                <w:rFonts w:ascii="Times New Roman" w:hAnsi="Times New Roman" w:cs="Times New Roman"/>
                <w:b/>
                <w:bCs/>
                <w:color w:val="000000" w:themeColor="text1"/>
                <w:sz w:val="24"/>
                <w:szCs w:val="24"/>
              </w:rPr>
            </w:pPr>
            <w:r w:rsidRPr="00B57ED9">
              <w:rPr>
                <w:rFonts w:ascii="Times New Roman" w:hAnsi="Times New Roman" w:cs="Times New Roman"/>
                <w:color w:val="000000" w:themeColor="text1"/>
                <w:sz w:val="24"/>
                <w:szCs w:val="24"/>
              </w:rPr>
              <w:t>Updated Business Continuity Framework.</w:t>
            </w:r>
          </w:p>
        </w:tc>
        <w:tc>
          <w:tcPr>
            <w:tcW w:w="4830" w:type="dxa"/>
            <w:shd w:val="clear" w:color="auto" w:fill="FFE599" w:themeFill="accent4" w:themeFillTint="66"/>
          </w:tcPr>
          <w:p w:rsidR="00B57ED9" w:rsidRPr="00B57ED9" w:rsidRDefault="00B57ED9" w:rsidP="00B57ED9">
            <w:pPr>
              <w:numPr>
                <w:ilvl w:val="0"/>
                <w:numId w:val="2"/>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Gaps in the investment policies.</w:t>
            </w:r>
          </w:p>
          <w:p w:rsidR="00B57ED9" w:rsidRPr="00B57ED9" w:rsidRDefault="00B57ED9" w:rsidP="00B57ED9">
            <w:pPr>
              <w:numPr>
                <w:ilvl w:val="0"/>
                <w:numId w:val="2"/>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Lack of identification of climate risk drivers.</w:t>
            </w:r>
          </w:p>
          <w:p w:rsidR="00B57ED9" w:rsidRPr="00B57ED9" w:rsidRDefault="00B57ED9" w:rsidP="00B57ED9">
            <w:pPr>
              <w:numPr>
                <w:ilvl w:val="0"/>
                <w:numId w:val="2"/>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 xml:space="preserve">Financial asset revaluations. </w:t>
            </w:r>
          </w:p>
          <w:p w:rsidR="00B57ED9" w:rsidRPr="00B57ED9" w:rsidRDefault="00B57ED9" w:rsidP="00B57ED9">
            <w:pPr>
              <w:numPr>
                <w:ilvl w:val="0"/>
                <w:numId w:val="2"/>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Mismatches in price levels.</w:t>
            </w:r>
          </w:p>
          <w:p w:rsidR="00B57ED9" w:rsidRPr="00B57ED9" w:rsidRDefault="00B57ED9" w:rsidP="00B57ED9">
            <w:pPr>
              <w:numPr>
                <w:ilvl w:val="0"/>
                <w:numId w:val="2"/>
              </w:numPr>
              <w:spacing w:after="160" w:line="360" w:lineRule="auto"/>
              <w:jc w:val="both"/>
              <w:rPr>
                <w:rFonts w:ascii="Times New Roman" w:hAnsi="Times New Roman" w:cs="Times New Roman"/>
                <w:b/>
                <w:bCs/>
                <w:color w:val="000000" w:themeColor="text1"/>
                <w:sz w:val="24"/>
                <w:szCs w:val="24"/>
              </w:rPr>
            </w:pPr>
            <w:r w:rsidRPr="00B57ED9">
              <w:rPr>
                <w:rFonts w:ascii="Times New Roman" w:hAnsi="Times New Roman" w:cs="Times New Roman"/>
                <w:color w:val="000000" w:themeColor="text1"/>
                <w:sz w:val="24"/>
                <w:szCs w:val="24"/>
              </w:rPr>
              <w:t>Operational capabilities and/or ability to deliver services to clients may be disrupted due to acute or chronic physical risks.</w:t>
            </w:r>
          </w:p>
        </w:tc>
      </w:tr>
      <w:tr w:rsidR="00B57ED9" w:rsidRPr="00B57ED9" w:rsidTr="00B910FC">
        <w:trPr>
          <w:trHeight w:val="262"/>
        </w:trPr>
        <w:tc>
          <w:tcPr>
            <w:tcW w:w="5084" w:type="dxa"/>
            <w:shd w:val="clear" w:color="auto" w:fill="70AD47" w:themeFill="accent6"/>
          </w:tcPr>
          <w:p w:rsidR="00B57ED9" w:rsidRPr="00B57ED9" w:rsidRDefault="00B57ED9" w:rsidP="00B57ED9">
            <w:p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b/>
                <w:bCs/>
                <w:color w:val="000000" w:themeColor="text1"/>
                <w:sz w:val="24"/>
                <w:szCs w:val="24"/>
              </w:rPr>
              <w:t>Opportunities</w:t>
            </w:r>
          </w:p>
        </w:tc>
        <w:tc>
          <w:tcPr>
            <w:tcW w:w="4830" w:type="dxa"/>
            <w:shd w:val="clear" w:color="auto" w:fill="70AD47" w:themeFill="accent6"/>
          </w:tcPr>
          <w:p w:rsidR="00B57ED9" w:rsidRPr="00B57ED9" w:rsidRDefault="00B57ED9" w:rsidP="00B57ED9">
            <w:p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b/>
                <w:bCs/>
                <w:color w:val="000000" w:themeColor="text1"/>
                <w:sz w:val="24"/>
                <w:szCs w:val="24"/>
              </w:rPr>
              <w:t>Threats</w:t>
            </w:r>
          </w:p>
        </w:tc>
      </w:tr>
      <w:tr w:rsidR="00B57ED9" w:rsidRPr="00B57ED9" w:rsidTr="00B910FC">
        <w:trPr>
          <w:trHeight w:val="6542"/>
        </w:trPr>
        <w:tc>
          <w:tcPr>
            <w:tcW w:w="5084" w:type="dxa"/>
            <w:shd w:val="clear" w:color="auto" w:fill="C5E0B3" w:themeFill="accent6" w:themeFillTint="66"/>
          </w:tcPr>
          <w:p w:rsidR="00B57ED9" w:rsidRPr="00B57ED9" w:rsidRDefault="00B57ED9" w:rsidP="00B57ED9">
            <w:pPr>
              <w:numPr>
                <w:ilvl w:val="0"/>
                <w:numId w:val="3"/>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Adhere to the sustainable disclosure regulations.</w:t>
            </w:r>
          </w:p>
          <w:p w:rsidR="00B57ED9" w:rsidRPr="00B57ED9" w:rsidRDefault="00B57ED9" w:rsidP="00B57ED9">
            <w:pPr>
              <w:numPr>
                <w:ilvl w:val="0"/>
                <w:numId w:val="3"/>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Review the advisory model to incorporate ESG principles.</w:t>
            </w:r>
          </w:p>
          <w:p w:rsidR="00B57ED9" w:rsidRPr="00B57ED9" w:rsidRDefault="00B57ED9" w:rsidP="00B57ED9">
            <w:pPr>
              <w:numPr>
                <w:ilvl w:val="0"/>
                <w:numId w:val="3"/>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Launch of a comprehensive training program for ESG certification for bankers.</w:t>
            </w:r>
          </w:p>
          <w:p w:rsidR="00B57ED9" w:rsidRPr="00B57ED9" w:rsidRDefault="00B57ED9" w:rsidP="00B57ED9">
            <w:pPr>
              <w:numPr>
                <w:ilvl w:val="0"/>
                <w:numId w:val="3"/>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 xml:space="preserve">Engagement activities regarding ESG issues, and new insurance options for natural disasters such as earthquakes. </w:t>
            </w:r>
          </w:p>
          <w:p w:rsidR="00B57ED9" w:rsidRPr="00B57ED9" w:rsidRDefault="00B57ED9" w:rsidP="00B57ED9">
            <w:pPr>
              <w:numPr>
                <w:ilvl w:val="0"/>
                <w:numId w:val="3"/>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Expand the climate risk credit methodology and the use of climate risk analysis data.</w:t>
            </w:r>
          </w:p>
          <w:p w:rsidR="00B57ED9" w:rsidRPr="00B57ED9" w:rsidRDefault="00B57ED9" w:rsidP="00B57ED9">
            <w:pPr>
              <w:numPr>
                <w:ilvl w:val="0"/>
                <w:numId w:val="3"/>
              </w:numPr>
              <w:spacing w:after="160" w:line="360" w:lineRule="auto"/>
              <w:jc w:val="both"/>
              <w:rPr>
                <w:rFonts w:ascii="Times New Roman" w:hAnsi="Times New Roman" w:cs="Times New Roman"/>
                <w:b/>
                <w:bCs/>
                <w:color w:val="000000" w:themeColor="text1"/>
                <w:sz w:val="24"/>
                <w:szCs w:val="24"/>
              </w:rPr>
            </w:pPr>
            <w:r w:rsidRPr="00B57ED9">
              <w:rPr>
                <w:rFonts w:ascii="Times New Roman" w:hAnsi="Times New Roman" w:cs="Times New Roman"/>
                <w:color w:val="000000" w:themeColor="text1"/>
                <w:sz w:val="24"/>
                <w:szCs w:val="24"/>
              </w:rPr>
              <w:t>Develop dedicated Climate risk stress scenarios.</w:t>
            </w:r>
          </w:p>
        </w:tc>
        <w:tc>
          <w:tcPr>
            <w:tcW w:w="4830" w:type="dxa"/>
            <w:shd w:val="clear" w:color="auto" w:fill="C5E0B3" w:themeFill="accent6" w:themeFillTint="66"/>
          </w:tcPr>
          <w:p w:rsidR="00B57ED9" w:rsidRPr="00B57ED9" w:rsidRDefault="00B57ED9" w:rsidP="00B57ED9">
            <w:pPr>
              <w:numPr>
                <w:ilvl w:val="0"/>
                <w:numId w:val="4"/>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Changes in regulations.</w:t>
            </w:r>
          </w:p>
          <w:p w:rsidR="00B57ED9" w:rsidRPr="00B57ED9" w:rsidRDefault="00B57ED9" w:rsidP="00B57ED9">
            <w:pPr>
              <w:numPr>
                <w:ilvl w:val="0"/>
                <w:numId w:val="4"/>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 xml:space="preserve">Human rights, well-being, and interests of people and communities. </w:t>
            </w:r>
          </w:p>
          <w:p w:rsidR="00B57ED9" w:rsidRPr="00B57ED9" w:rsidRDefault="00B57ED9" w:rsidP="00B57ED9">
            <w:pPr>
              <w:numPr>
                <w:ilvl w:val="0"/>
                <w:numId w:val="4"/>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 xml:space="preserve">This includes, among other things, gender equality, fair working conditions, and social protection. </w:t>
            </w:r>
          </w:p>
          <w:p w:rsidR="00B57ED9" w:rsidRPr="00B57ED9" w:rsidRDefault="00B57ED9" w:rsidP="00B57ED9">
            <w:pPr>
              <w:numPr>
                <w:ilvl w:val="0"/>
                <w:numId w:val="4"/>
              </w:numPr>
              <w:spacing w:line="360" w:lineRule="auto"/>
              <w:contextualSpacing/>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Climate changes, executive leadership, audit, internal control, tax avoidance, board independence, corruption and bribery, and shareholder rights.</w:t>
            </w:r>
          </w:p>
          <w:p w:rsidR="00B57ED9" w:rsidRPr="00B57ED9" w:rsidRDefault="00B57ED9" w:rsidP="00B57ED9">
            <w:pPr>
              <w:numPr>
                <w:ilvl w:val="0"/>
                <w:numId w:val="4"/>
              </w:numPr>
              <w:spacing w:after="160" w:line="360" w:lineRule="auto"/>
              <w:jc w:val="both"/>
              <w:rPr>
                <w:rFonts w:ascii="Times New Roman" w:hAnsi="Times New Roman" w:cs="Times New Roman"/>
                <w:color w:val="000000" w:themeColor="text1"/>
                <w:sz w:val="24"/>
                <w:szCs w:val="24"/>
              </w:rPr>
            </w:pPr>
            <w:r w:rsidRPr="00B57ED9">
              <w:rPr>
                <w:rFonts w:ascii="Times New Roman" w:hAnsi="Times New Roman" w:cs="Times New Roman"/>
                <w:color w:val="000000" w:themeColor="text1"/>
                <w:sz w:val="24"/>
                <w:szCs w:val="24"/>
              </w:rPr>
              <w:t xml:space="preserve">Market condition changes </w:t>
            </w:r>
          </w:p>
          <w:p w:rsidR="00B57ED9" w:rsidRPr="00B57ED9" w:rsidRDefault="00B57ED9" w:rsidP="00B57ED9">
            <w:pPr>
              <w:numPr>
                <w:ilvl w:val="0"/>
                <w:numId w:val="4"/>
              </w:numPr>
              <w:spacing w:after="160" w:line="360" w:lineRule="auto"/>
              <w:jc w:val="both"/>
              <w:rPr>
                <w:rFonts w:ascii="Times New Roman" w:hAnsi="Times New Roman" w:cs="Times New Roman"/>
                <w:b/>
                <w:bCs/>
                <w:color w:val="000000" w:themeColor="text1"/>
                <w:sz w:val="24"/>
                <w:szCs w:val="24"/>
              </w:rPr>
            </w:pPr>
            <w:r w:rsidRPr="00B57ED9">
              <w:rPr>
                <w:rFonts w:ascii="Times New Roman" w:hAnsi="Times New Roman" w:cs="Times New Roman"/>
                <w:color w:val="000000" w:themeColor="text1"/>
                <w:sz w:val="24"/>
                <w:szCs w:val="24"/>
              </w:rPr>
              <w:t>Emerging climate-related laws, regulations, society expectations, and internal policies and codes.</w:t>
            </w:r>
          </w:p>
        </w:tc>
      </w:tr>
    </w:tbl>
    <w:p w:rsidR="004460AC" w:rsidRPr="001816C6" w:rsidRDefault="004460AC" w:rsidP="00B320BE">
      <w:pPr>
        <w:pStyle w:val="Heading2"/>
        <w:spacing w:line="360" w:lineRule="auto"/>
        <w:jc w:val="both"/>
        <w:rPr>
          <w:rFonts w:ascii="Times New Roman" w:hAnsi="Times New Roman" w:cs="Times New Roman"/>
          <w:b/>
          <w:color w:val="000000" w:themeColor="text1"/>
          <w:sz w:val="24"/>
          <w:szCs w:val="24"/>
        </w:rPr>
      </w:pPr>
      <w:bookmarkStart w:id="202" w:name="_Toc156676340"/>
      <w:bookmarkStart w:id="203" w:name="_Toc156846034"/>
      <w:r w:rsidRPr="001816C6">
        <w:rPr>
          <w:rFonts w:ascii="Times New Roman" w:hAnsi="Times New Roman" w:cs="Times New Roman"/>
          <w:b/>
          <w:color w:val="000000" w:themeColor="text1"/>
          <w:sz w:val="24"/>
          <w:szCs w:val="24"/>
        </w:rPr>
        <w:lastRenderedPageBreak/>
        <w:t>Application and Significance</w:t>
      </w:r>
      <w:bookmarkEnd w:id="202"/>
      <w:bookmarkEnd w:id="203"/>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findings of our study bear implications for both financial markets and their participants:</w:t>
      </w:r>
    </w:p>
    <w:p w:rsidR="00134E6B" w:rsidRPr="00B320BE" w:rsidRDefault="00134E6B" w:rsidP="00B320BE">
      <w:pPr>
        <w:spacing w:line="360" w:lineRule="auto"/>
        <w:jc w:val="both"/>
        <w:rPr>
          <w:rFonts w:ascii="Times New Roman" w:hAnsi="Times New Roman" w:cs="Times New Roman"/>
          <w:color w:val="000000" w:themeColor="text1"/>
          <w:sz w:val="24"/>
          <w:szCs w:val="24"/>
        </w:rPr>
      </w:pPr>
    </w:p>
    <w:p w:rsidR="004460AC" w:rsidRPr="001816C6" w:rsidRDefault="004460AC" w:rsidP="00B320BE">
      <w:pPr>
        <w:pStyle w:val="Heading3"/>
        <w:spacing w:line="360" w:lineRule="auto"/>
        <w:jc w:val="both"/>
        <w:rPr>
          <w:rFonts w:ascii="Times New Roman" w:hAnsi="Times New Roman" w:cs="Times New Roman"/>
          <w:b/>
          <w:color w:val="000000" w:themeColor="text1"/>
        </w:rPr>
      </w:pPr>
      <w:bookmarkStart w:id="204" w:name="_Toc156676341"/>
      <w:bookmarkStart w:id="205" w:name="_Toc156846035"/>
      <w:r w:rsidRPr="001816C6">
        <w:rPr>
          <w:rFonts w:ascii="Times New Roman" w:hAnsi="Times New Roman" w:cs="Times New Roman"/>
          <w:b/>
          <w:color w:val="000000" w:themeColor="text1"/>
        </w:rPr>
        <w:t>In</w:t>
      </w:r>
      <w:r w:rsidR="0020133B" w:rsidRPr="001816C6">
        <w:rPr>
          <w:rFonts w:ascii="Times New Roman" w:hAnsi="Times New Roman" w:cs="Times New Roman"/>
          <w:b/>
          <w:color w:val="000000" w:themeColor="text1"/>
        </w:rPr>
        <w:t>vestor Behavior and ESG Ratings</w:t>
      </w:r>
      <w:bookmarkEnd w:id="204"/>
      <w:bookmarkEnd w:id="205"/>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Five enterprises in the study show investors do not compromise returns to invest in entities that have high ESG ratings. This implies that sustainability problems might not be so vital to the investors after all.</w:t>
      </w:r>
    </w:p>
    <w:p w:rsidR="00134E6B" w:rsidRPr="00B320BE" w:rsidRDefault="00134E6B" w:rsidP="00B320BE">
      <w:pPr>
        <w:spacing w:line="360" w:lineRule="auto"/>
        <w:jc w:val="both"/>
        <w:rPr>
          <w:rFonts w:ascii="Times New Roman" w:hAnsi="Times New Roman" w:cs="Times New Roman"/>
          <w:color w:val="000000" w:themeColor="text1"/>
          <w:sz w:val="24"/>
          <w:szCs w:val="24"/>
        </w:rPr>
      </w:pPr>
    </w:p>
    <w:p w:rsidR="004460AC" w:rsidRPr="001816C6" w:rsidRDefault="004460AC" w:rsidP="00B320BE">
      <w:pPr>
        <w:pStyle w:val="Heading3"/>
        <w:spacing w:line="360" w:lineRule="auto"/>
        <w:jc w:val="both"/>
        <w:rPr>
          <w:rFonts w:ascii="Times New Roman" w:hAnsi="Times New Roman" w:cs="Times New Roman"/>
          <w:b/>
          <w:color w:val="000000" w:themeColor="text1"/>
        </w:rPr>
      </w:pPr>
      <w:bookmarkStart w:id="206" w:name="_Toc156676342"/>
      <w:bookmarkStart w:id="207" w:name="_Toc156846036"/>
      <w:r w:rsidRPr="001816C6">
        <w:rPr>
          <w:rFonts w:ascii="Times New Roman" w:hAnsi="Times New Roman" w:cs="Times New Roman"/>
          <w:b/>
          <w:color w:val="000000" w:themeColor="text1"/>
        </w:rPr>
        <w:t>Investor Pr</w:t>
      </w:r>
      <w:r w:rsidR="0020133B" w:rsidRPr="001816C6">
        <w:rPr>
          <w:rFonts w:ascii="Times New Roman" w:hAnsi="Times New Roman" w:cs="Times New Roman"/>
          <w:b/>
          <w:color w:val="000000" w:themeColor="text1"/>
        </w:rPr>
        <w:t>eferences for Smaller Companies</w:t>
      </w:r>
      <w:bookmarkEnd w:id="206"/>
      <w:bookmarkEnd w:id="207"/>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Smaller-sized firms having higher Sharpe ratios and greater price/book value may be the better choice for investors considering potentially bigger returns. This is evident in the fact that both ESG and financial indicators should be taken into account when making investment decisions.</w:t>
      </w:r>
    </w:p>
    <w:p w:rsidR="00134E6B" w:rsidRPr="00B320BE" w:rsidRDefault="00134E6B" w:rsidP="00B320BE">
      <w:pPr>
        <w:spacing w:line="360" w:lineRule="auto"/>
        <w:jc w:val="both"/>
        <w:rPr>
          <w:rFonts w:ascii="Times New Roman" w:hAnsi="Times New Roman" w:cs="Times New Roman"/>
          <w:b/>
          <w:color w:val="000000" w:themeColor="text1"/>
          <w:sz w:val="24"/>
          <w:szCs w:val="24"/>
        </w:rPr>
      </w:pPr>
    </w:p>
    <w:p w:rsidR="004460AC" w:rsidRPr="001816C6" w:rsidRDefault="004460AC" w:rsidP="00B320BE">
      <w:pPr>
        <w:pStyle w:val="Heading3"/>
        <w:spacing w:line="360" w:lineRule="auto"/>
        <w:jc w:val="both"/>
        <w:rPr>
          <w:rFonts w:ascii="Times New Roman" w:hAnsi="Times New Roman" w:cs="Times New Roman"/>
          <w:b/>
          <w:color w:val="000000" w:themeColor="text1"/>
        </w:rPr>
      </w:pPr>
      <w:bookmarkStart w:id="208" w:name="_Toc156676343"/>
      <w:bookmarkStart w:id="209" w:name="_Toc156846037"/>
      <w:r w:rsidRPr="001816C6">
        <w:rPr>
          <w:rFonts w:ascii="Times New Roman" w:hAnsi="Times New Roman" w:cs="Times New Roman"/>
          <w:b/>
          <w:color w:val="000000" w:themeColor="text1"/>
        </w:rPr>
        <w:t>Fresh Pers</w:t>
      </w:r>
      <w:r w:rsidR="0020133B" w:rsidRPr="001816C6">
        <w:rPr>
          <w:rFonts w:ascii="Times New Roman" w:hAnsi="Times New Roman" w:cs="Times New Roman"/>
          <w:b/>
          <w:color w:val="000000" w:themeColor="text1"/>
        </w:rPr>
        <w:t>pectives on Portfolio Structure</w:t>
      </w:r>
      <w:bookmarkEnd w:id="208"/>
      <w:bookmarkEnd w:id="209"/>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findings provide new insights into the effect of both, financial (Debt/Equity, Return on Assets and Equity) as well non-financial factors (ESG This understanding helps investors and finance professionals make intelligent decisions.</w:t>
      </w:r>
    </w:p>
    <w:p w:rsidR="00134E6B" w:rsidRPr="00B320BE" w:rsidRDefault="00134E6B" w:rsidP="00B320BE">
      <w:pPr>
        <w:spacing w:line="360" w:lineRule="auto"/>
        <w:jc w:val="both"/>
        <w:rPr>
          <w:rFonts w:ascii="Times New Roman" w:hAnsi="Times New Roman" w:cs="Times New Roman"/>
          <w:b/>
          <w:color w:val="000000" w:themeColor="text1"/>
          <w:sz w:val="24"/>
          <w:szCs w:val="24"/>
        </w:rPr>
      </w:pPr>
    </w:p>
    <w:p w:rsidR="004460AC" w:rsidRPr="001816C6" w:rsidRDefault="0020133B" w:rsidP="00B320BE">
      <w:pPr>
        <w:pStyle w:val="Heading3"/>
        <w:spacing w:line="360" w:lineRule="auto"/>
        <w:jc w:val="both"/>
        <w:rPr>
          <w:rFonts w:ascii="Times New Roman" w:hAnsi="Times New Roman" w:cs="Times New Roman"/>
          <w:b/>
          <w:color w:val="000000" w:themeColor="text1"/>
        </w:rPr>
      </w:pPr>
      <w:bookmarkStart w:id="210" w:name="_Toc156676344"/>
      <w:bookmarkStart w:id="211" w:name="_Toc156846038"/>
      <w:r w:rsidRPr="001816C6">
        <w:rPr>
          <w:rFonts w:ascii="Times New Roman" w:hAnsi="Times New Roman" w:cs="Times New Roman"/>
          <w:b/>
          <w:color w:val="000000" w:themeColor="text1"/>
        </w:rPr>
        <w:t>Importance of ESG Education</w:t>
      </w:r>
      <w:bookmarkEnd w:id="210"/>
      <w:bookmarkEnd w:id="211"/>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This reality is identified in the research and, accordingly, stresses the importance of guiding financial novices on ESG problems by fund managers. It underlines the impact that ethical ESG principles have on stock price increases.</w:t>
      </w:r>
    </w:p>
    <w:p w:rsidR="00134E6B" w:rsidRPr="00B320BE" w:rsidRDefault="00134E6B" w:rsidP="00B320BE">
      <w:pPr>
        <w:spacing w:line="360" w:lineRule="auto"/>
        <w:jc w:val="both"/>
        <w:rPr>
          <w:rFonts w:ascii="Times New Roman" w:hAnsi="Times New Roman" w:cs="Times New Roman"/>
          <w:b/>
          <w:color w:val="000000" w:themeColor="text1"/>
          <w:sz w:val="24"/>
          <w:szCs w:val="24"/>
        </w:rPr>
      </w:pPr>
    </w:p>
    <w:p w:rsidR="004460AC" w:rsidRPr="001816C6" w:rsidRDefault="004460AC" w:rsidP="00B320BE">
      <w:pPr>
        <w:pStyle w:val="Heading3"/>
        <w:spacing w:line="360" w:lineRule="auto"/>
        <w:jc w:val="both"/>
        <w:rPr>
          <w:rFonts w:ascii="Times New Roman" w:hAnsi="Times New Roman" w:cs="Times New Roman"/>
          <w:b/>
          <w:color w:val="000000" w:themeColor="text1"/>
        </w:rPr>
      </w:pPr>
      <w:bookmarkStart w:id="212" w:name="_Toc156676345"/>
      <w:bookmarkStart w:id="213" w:name="_Toc156846039"/>
      <w:r w:rsidRPr="001816C6">
        <w:rPr>
          <w:rFonts w:ascii="Times New Roman" w:hAnsi="Times New Roman" w:cs="Times New Roman"/>
          <w:b/>
          <w:color w:val="000000" w:themeColor="text1"/>
        </w:rPr>
        <w:t xml:space="preserve">European </w:t>
      </w:r>
      <w:r w:rsidR="0020133B" w:rsidRPr="001816C6">
        <w:rPr>
          <w:rFonts w:ascii="Times New Roman" w:hAnsi="Times New Roman" w:cs="Times New Roman"/>
          <w:b/>
          <w:color w:val="000000" w:themeColor="text1"/>
        </w:rPr>
        <w:t>Investors and Sustainable Funds</w:t>
      </w:r>
      <w:bookmarkEnd w:id="212"/>
      <w:bookmarkEnd w:id="213"/>
    </w:p>
    <w:p w:rsidR="004460AC" w:rsidRPr="00B320BE" w:rsidRDefault="004460AC"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above data has shown that European investors follow portfolio diversification or play a long game, the reason why Europe has come to be recognized as the biggest market for sustainable funds in the world.</w:t>
      </w:r>
    </w:p>
    <w:p w:rsidR="0066621A" w:rsidRPr="001816C6" w:rsidRDefault="0066621A" w:rsidP="00B320BE">
      <w:pPr>
        <w:pStyle w:val="Heading2"/>
        <w:spacing w:line="360" w:lineRule="auto"/>
        <w:jc w:val="both"/>
        <w:rPr>
          <w:rFonts w:ascii="Times New Roman" w:hAnsi="Times New Roman" w:cs="Times New Roman"/>
          <w:b/>
          <w:color w:val="000000" w:themeColor="text1"/>
          <w:sz w:val="24"/>
          <w:szCs w:val="24"/>
        </w:rPr>
      </w:pPr>
      <w:bookmarkStart w:id="214" w:name="_Toc156676346"/>
      <w:bookmarkStart w:id="215" w:name="_Toc156846040"/>
      <w:r w:rsidRPr="001816C6">
        <w:rPr>
          <w:rFonts w:ascii="Times New Roman" w:hAnsi="Times New Roman" w:cs="Times New Roman"/>
          <w:b/>
          <w:color w:val="000000" w:themeColor="text1"/>
          <w:sz w:val="24"/>
          <w:szCs w:val="24"/>
        </w:rPr>
        <w:lastRenderedPageBreak/>
        <w:t>Conclusion</w:t>
      </w:r>
      <w:bookmarkEnd w:id="214"/>
      <w:bookmarkEnd w:id="215"/>
    </w:p>
    <w:p w:rsidR="0066621A" w:rsidRPr="00B320BE" w:rsidRDefault="0066621A"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The ESG performance assessment and sustainability processes undertaken by leading financial institutions such as Intesa Sanpaolo, N</w:t>
      </w:r>
      <w:r w:rsidR="00623495" w:rsidRPr="00B320BE">
        <w:rPr>
          <w:rFonts w:ascii="Times New Roman" w:hAnsi="Times New Roman" w:cs="Times New Roman"/>
          <w:color w:val="000000" w:themeColor="text1"/>
          <w:sz w:val="24"/>
          <w:szCs w:val="24"/>
        </w:rPr>
        <w:t>ordea</w:t>
      </w:r>
      <w:r w:rsidRPr="00B320BE">
        <w:rPr>
          <w:rFonts w:ascii="Times New Roman" w:hAnsi="Times New Roman" w:cs="Times New Roman"/>
          <w:color w:val="000000" w:themeColor="text1"/>
          <w:sz w:val="24"/>
          <w:szCs w:val="24"/>
        </w:rPr>
        <w:t xml:space="preserve"> B</w:t>
      </w:r>
      <w:r w:rsidR="00623495" w:rsidRPr="00B320BE">
        <w:rPr>
          <w:rFonts w:ascii="Times New Roman" w:hAnsi="Times New Roman" w:cs="Times New Roman"/>
          <w:color w:val="000000" w:themeColor="text1"/>
          <w:sz w:val="24"/>
          <w:szCs w:val="24"/>
        </w:rPr>
        <w:t>ank</w:t>
      </w:r>
      <w:r w:rsidRPr="00B320BE">
        <w:rPr>
          <w:rFonts w:ascii="Times New Roman" w:hAnsi="Times New Roman" w:cs="Times New Roman"/>
          <w:color w:val="000000" w:themeColor="text1"/>
          <w:sz w:val="24"/>
          <w:szCs w:val="24"/>
        </w:rPr>
        <w:t xml:space="preserve">, </w:t>
      </w:r>
      <w:r w:rsidR="00623495" w:rsidRPr="00B320BE">
        <w:rPr>
          <w:rFonts w:ascii="Times New Roman" w:hAnsi="Times New Roman" w:cs="Times New Roman"/>
          <w:color w:val="000000" w:themeColor="text1"/>
          <w:sz w:val="24"/>
          <w:szCs w:val="24"/>
        </w:rPr>
        <w:t xml:space="preserve">and </w:t>
      </w:r>
      <w:r w:rsidRPr="00B320BE">
        <w:rPr>
          <w:rFonts w:ascii="Times New Roman" w:hAnsi="Times New Roman" w:cs="Times New Roman"/>
          <w:color w:val="000000" w:themeColor="text1"/>
          <w:sz w:val="24"/>
          <w:szCs w:val="24"/>
        </w:rPr>
        <w:t>ING G</w:t>
      </w:r>
      <w:r w:rsidR="00623495" w:rsidRPr="00B320BE">
        <w:rPr>
          <w:rFonts w:ascii="Times New Roman" w:hAnsi="Times New Roman" w:cs="Times New Roman"/>
          <w:color w:val="000000" w:themeColor="text1"/>
          <w:sz w:val="24"/>
          <w:szCs w:val="24"/>
        </w:rPr>
        <w:t>roup</w:t>
      </w:r>
      <w:r w:rsidRPr="00B320BE">
        <w:rPr>
          <w:rFonts w:ascii="Times New Roman" w:hAnsi="Times New Roman" w:cs="Times New Roman"/>
          <w:color w:val="000000" w:themeColor="text1"/>
          <w:sz w:val="24"/>
          <w:szCs w:val="24"/>
        </w:rPr>
        <w:t xml:space="preserve"> aided in creating an entire landscape of environmental social governance activities present within the realm of finance. These organizations demonstrate diverse strengths and approaches to incorporating sustainability into their core activities.</w:t>
      </w:r>
    </w:p>
    <w:p w:rsidR="0066621A" w:rsidRPr="00B320BE" w:rsidRDefault="0066621A"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However, the regulatory environment supported by directives such as 2014/95 / EU and CSRD is an indication that non-financial reporting has gained significance in large public interest organizations. The consistency of the reporting frameworks for example GRI, SASB, TCFD</w:t>
      </w:r>
      <w:r w:rsidR="00623495"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World Economic Forum’s indicators with 17 SDG instead shows that there is a global will to pursue clean business practices. The research analyzes herding behavior in ESG investments </w:t>
      </w:r>
      <w:r w:rsidR="00623495" w:rsidRPr="00B320BE">
        <w:rPr>
          <w:rFonts w:ascii="Times New Roman" w:hAnsi="Times New Roman" w:cs="Times New Roman"/>
          <w:color w:val="000000" w:themeColor="text1"/>
          <w:sz w:val="24"/>
          <w:szCs w:val="24"/>
        </w:rPr>
        <w:t xml:space="preserve">and </w:t>
      </w:r>
      <w:r w:rsidRPr="00B320BE">
        <w:rPr>
          <w:rFonts w:ascii="Times New Roman" w:hAnsi="Times New Roman" w:cs="Times New Roman"/>
          <w:color w:val="000000" w:themeColor="text1"/>
          <w:sz w:val="24"/>
          <w:szCs w:val="24"/>
        </w:rPr>
        <w:t xml:space="preserve">its impact on </w:t>
      </w:r>
      <w:r w:rsidR="00623495" w:rsidRPr="00B320BE">
        <w:rPr>
          <w:rFonts w:ascii="Times New Roman" w:hAnsi="Times New Roman" w:cs="Times New Roman"/>
          <w:color w:val="000000" w:themeColor="text1"/>
          <w:sz w:val="24"/>
          <w:szCs w:val="24"/>
        </w:rPr>
        <w:t xml:space="preserve">the </w:t>
      </w:r>
      <w:r w:rsidRPr="00B320BE">
        <w:rPr>
          <w:rFonts w:ascii="Times New Roman" w:hAnsi="Times New Roman" w:cs="Times New Roman"/>
          <w:color w:val="000000" w:themeColor="text1"/>
          <w:sz w:val="24"/>
          <w:szCs w:val="24"/>
        </w:rPr>
        <w:t>structure and performance of a portfolio. The focus of the SWOT analysis applied to the financial institutions under consideration is their strengths, weaknesses opportunities</w:t>
      </w:r>
      <w:r w:rsidR="00623495" w:rsidRPr="00B320BE">
        <w:rPr>
          <w:rFonts w:ascii="Times New Roman" w:hAnsi="Times New Roman" w:cs="Times New Roman"/>
          <w:color w:val="000000" w:themeColor="text1"/>
          <w:sz w:val="24"/>
          <w:szCs w:val="24"/>
        </w:rPr>
        <w:t>,</w:t>
      </w:r>
      <w:r w:rsidRPr="00B320BE">
        <w:rPr>
          <w:rFonts w:ascii="Times New Roman" w:hAnsi="Times New Roman" w:cs="Times New Roman"/>
          <w:color w:val="000000" w:themeColor="text1"/>
          <w:sz w:val="24"/>
          <w:szCs w:val="24"/>
        </w:rPr>
        <w:t xml:space="preserve"> and threats that depict broad alternatives for sustainability goals reached.</w:t>
      </w:r>
    </w:p>
    <w:p w:rsidR="0066621A" w:rsidRPr="00B320BE" w:rsidRDefault="00623495" w:rsidP="00B320BE">
      <w:pPr>
        <w:spacing w:line="360" w:lineRule="auto"/>
        <w:jc w:val="both"/>
        <w:rPr>
          <w:rFonts w:ascii="Times New Roman" w:hAnsi="Times New Roman" w:cs="Times New Roman"/>
          <w:color w:val="000000" w:themeColor="text1"/>
          <w:sz w:val="24"/>
          <w:szCs w:val="24"/>
        </w:rPr>
      </w:pPr>
      <w:r w:rsidRPr="00B320BE">
        <w:rPr>
          <w:rFonts w:ascii="Times New Roman" w:hAnsi="Times New Roman" w:cs="Times New Roman"/>
          <w:color w:val="000000" w:themeColor="text1"/>
          <w:sz w:val="24"/>
          <w:szCs w:val="24"/>
        </w:rPr>
        <w:t xml:space="preserve">It concludes that the dedication to ESG principles lies in such actions as creating dedicated sustainability departments and building a robust climate risk management other than financing based on sustainable activities. As the regulatory domain continues to change, these institutions manage challenges and seize possibilities as they become more conscious of ESG variables that affect financial results. </w:t>
      </w:r>
      <w:r w:rsidR="00B910FC" w:rsidRPr="00B910FC">
        <w:rPr>
          <w:rFonts w:ascii="Times New Roman" w:hAnsi="Times New Roman" w:cs="Times New Roman"/>
          <w:color w:val="000000" w:themeColor="text1"/>
          <w:sz w:val="24"/>
          <w:szCs w:val="24"/>
        </w:rPr>
        <w:t>The findings contribute to the literature on sustainability, regulatory frameworks and investment choices in relation to countries’ financial institutions as promoters of a sustainable economic system.</w:t>
      </w:r>
    </w:p>
    <w:p w:rsidR="00484AFF" w:rsidRPr="00B320BE" w:rsidRDefault="00484AFF" w:rsidP="00B320BE">
      <w:pPr>
        <w:spacing w:line="360" w:lineRule="auto"/>
        <w:ind w:left="720" w:hanging="720"/>
        <w:jc w:val="both"/>
        <w:rPr>
          <w:rFonts w:ascii="Times New Roman" w:hAnsi="Times New Roman" w:cs="Times New Roman"/>
          <w:b/>
          <w:bCs/>
          <w:color w:val="000000" w:themeColor="text1"/>
          <w:sz w:val="24"/>
          <w:szCs w:val="24"/>
        </w:rPr>
      </w:pPr>
    </w:p>
    <w:p w:rsidR="00397764" w:rsidRPr="00B320BE" w:rsidRDefault="00397764" w:rsidP="00B320BE">
      <w:pPr>
        <w:spacing w:line="360" w:lineRule="auto"/>
        <w:jc w:val="both"/>
        <w:rPr>
          <w:rFonts w:ascii="Times New Roman" w:hAnsi="Times New Roman" w:cs="Times New Roman"/>
          <w:b/>
          <w:bCs/>
          <w:color w:val="000000" w:themeColor="text1"/>
          <w:sz w:val="24"/>
          <w:szCs w:val="24"/>
        </w:rPr>
      </w:pPr>
    </w:p>
    <w:p w:rsidR="00980BB7" w:rsidRDefault="00980BB7" w:rsidP="00B320BE">
      <w:pPr>
        <w:spacing w:line="360" w:lineRule="auto"/>
        <w:jc w:val="both"/>
        <w:rPr>
          <w:rFonts w:ascii="Times New Roman" w:hAnsi="Times New Roman" w:cs="Times New Roman"/>
          <w:b/>
          <w:bCs/>
          <w:color w:val="000000" w:themeColor="text1"/>
          <w:sz w:val="24"/>
          <w:szCs w:val="24"/>
        </w:rPr>
      </w:pPr>
    </w:p>
    <w:p w:rsidR="0006108C" w:rsidRDefault="0006108C" w:rsidP="00B320BE">
      <w:pPr>
        <w:spacing w:line="360" w:lineRule="auto"/>
        <w:jc w:val="both"/>
        <w:rPr>
          <w:rFonts w:ascii="Times New Roman" w:hAnsi="Times New Roman" w:cs="Times New Roman"/>
          <w:b/>
          <w:bCs/>
          <w:color w:val="000000" w:themeColor="text1"/>
          <w:sz w:val="24"/>
          <w:szCs w:val="24"/>
        </w:rPr>
      </w:pPr>
    </w:p>
    <w:p w:rsidR="0006108C" w:rsidRPr="00B320BE" w:rsidRDefault="0006108C" w:rsidP="00B320BE">
      <w:pPr>
        <w:spacing w:line="360" w:lineRule="auto"/>
        <w:jc w:val="both"/>
        <w:rPr>
          <w:rFonts w:ascii="Times New Roman" w:hAnsi="Times New Roman" w:cs="Times New Roman"/>
          <w:b/>
          <w:bCs/>
          <w:color w:val="000000" w:themeColor="text1"/>
          <w:sz w:val="24"/>
          <w:szCs w:val="24"/>
        </w:rPr>
      </w:pPr>
    </w:p>
    <w:p w:rsidR="00980BB7" w:rsidRPr="001816C6" w:rsidRDefault="00980BB7" w:rsidP="00B320BE">
      <w:pPr>
        <w:pStyle w:val="Heading1"/>
        <w:spacing w:line="360" w:lineRule="auto"/>
        <w:jc w:val="both"/>
        <w:rPr>
          <w:rFonts w:ascii="Times New Roman" w:hAnsi="Times New Roman" w:cs="Times New Roman"/>
          <w:b/>
          <w:color w:val="000000" w:themeColor="text1"/>
          <w:sz w:val="24"/>
          <w:szCs w:val="24"/>
        </w:rPr>
      </w:pPr>
      <w:bookmarkStart w:id="216" w:name="_Toc156676347"/>
      <w:bookmarkStart w:id="217" w:name="_Toc156846041"/>
      <w:r w:rsidRPr="001816C6">
        <w:rPr>
          <w:rFonts w:ascii="Times New Roman" w:hAnsi="Times New Roman" w:cs="Times New Roman"/>
          <w:b/>
          <w:color w:val="000000" w:themeColor="text1"/>
          <w:sz w:val="24"/>
          <w:szCs w:val="24"/>
        </w:rPr>
        <w:lastRenderedPageBreak/>
        <w:t>Chapter: 4</w:t>
      </w:r>
      <w:bookmarkEnd w:id="216"/>
      <w:bookmarkEnd w:id="217"/>
    </w:p>
    <w:p w:rsidR="00980BB7" w:rsidRPr="001816C6" w:rsidRDefault="00980BB7" w:rsidP="00B320BE">
      <w:pPr>
        <w:pStyle w:val="Heading1"/>
        <w:spacing w:line="360" w:lineRule="auto"/>
        <w:jc w:val="both"/>
        <w:rPr>
          <w:rFonts w:ascii="Times New Roman" w:hAnsi="Times New Roman" w:cs="Times New Roman"/>
          <w:b/>
          <w:color w:val="000000" w:themeColor="text1"/>
          <w:sz w:val="24"/>
          <w:szCs w:val="24"/>
        </w:rPr>
      </w:pPr>
      <w:bookmarkStart w:id="218" w:name="_Toc156676348"/>
      <w:bookmarkStart w:id="219" w:name="_Toc156846042"/>
      <w:r w:rsidRPr="001816C6">
        <w:rPr>
          <w:rFonts w:ascii="Times New Roman" w:hAnsi="Times New Roman" w:cs="Times New Roman"/>
          <w:b/>
          <w:color w:val="000000" w:themeColor="text1"/>
          <w:sz w:val="24"/>
          <w:szCs w:val="24"/>
        </w:rPr>
        <w:t>Conclusion &amp; Recommendations</w:t>
      </w:r>
      <w:bookmarkEnd w:id="218"/>
      <w:bookmarkEnd w:id="219"/>
    </w:p>
    <w:p w:rsidR="00AF472F" w:rsidRDefault="00B910FC" w:rsidP="00B320BE">
      <w:pPr>
        <w:spacing w:line="360" w:lineRule="auto"/>
        <w:jc w:val="both"/>
        <w:rPr>
          <w:rFonts w:ascii="Times New Roman" w:hAnsi="Times New Roman" w:cs="Times New Roman"/>
          <w:bCs/>
          <w:color w:val="000000" w:themeColor="text1"/>
          <w:sz w:val="24"/>
          <w:szCs w:val="24"/>
        </w:rPr>
      </w:pPr>
      <w:r w:rsidRPr="00B910FC">
        <w:rPr>
          <w:rFonts w:ascii="Times New Roman" w:hAnsi="Times New Roman" w:cs="Times New Roman"/>
          <w:bCs/>
          <w:color w:val="000000" w:themeColor="text1"/>
          <w:sz w:val="24"/>
          <w:szCs w:val="24"/>
        </w:rPr>
        <w:t>In this final chapter, we focus on the interplay between sustainability initiatives in the global financial industry and regulations as well as their effects on these firms’ performance. The course of events we trace investigates different aspects and covers the comprehensive analysis on sustainability’s evolution, changes in regulation provisions occurring thereof influencing market dynamics as well as investors conduct.</w:t>
      </w:r>
    </w:p>
    <w:p w:rsidR="00D13639" w:rsidRPr="00B320BE" w:rsidRDefault="00D13639"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20" w:name="_Toc156676349"/>
      <w:bookmarkStart w:id="221" w:name="_Toc156846043"/>
      <w:r w:rsidRPr="001816C6">
        <w:rPr>
          <w:rFonts w:ascii="Times New Roman" w:hAnsi="Times New Roman" w:cs="Times New Roman"/>
          <w:b/>
          <w:color w:val="000000" w:themeColor="text1"/>
          <w:sz w:val="24"/>
          <w:szCs w:val="24"/>
        </w:rPr>
        <w:t>Overview of Sustainability Initiatives</w:t>
      </w:r>
      <w:bookmarkEnd w:id="220"/>
      <w:bookmarkEnd w:id="221"/>
    </w:p>
    <w:p w:rsidR="00AF472F" w:rsidRDefault="00B910FC" w:rsidP="00B320BE">
      <w:pPr>
        <w:spacing w:line="360" w:lineRule="auto"/>
        <w:jc w:val="both"/>
        <w:rPr>
          <w:rFonts w:ascii="Times New Roman" w:hAnsi="Times New Roman" w:cs="Times New Roman"/>
          <w:bCs/>
          <w:color w:val="000000" w:themeColor="text1"/>
          <w:sz w:val="24"/>
          <w:szCs w:val="24"/>
        </w:rPr>
      </w:pPr>
      <w:r w:rsidRPr="00B910FC">
        <w:rPr>
          <w:rFonts w:ascii="Times New Roman" w:hAnsi="Times New Roman" w:cs="Times New Roman"/>
          <w:bCs/>
          <w:color w:val="000000" w:themeColor="text1"/>
          <w:sz w:val="24"/>
          <w:szCs w:val="24"/>
        </w:rPr>
        <w:t>With our focus on sustainability performance, we identify a market in which the financial services industry takes and leads through stream beside compliance ESG alignment. The story transcends a checklist methodology; the economic ones become integrated integrity giants as tries to combat environmental hindrances at their origins. The overwhelming emphasis on climate risk management, which goes beyond pointing out the value-creating urgencies also casts financial institutions as agents of broader environmental and social realities. Let’s look into details that determine this commitment.</w:t>
      </w:r>
    </w:p>
    <w:p w:rsidR="00FE2A81" w:rsidRDefault="00FE2A81" w:rsidP="00FE2A81">
      <w:pPr>
        <w:keepNext/>
        <w:spacing w:line="360" w:lineRule="auto"/>
        <w:jc w:val="center"/>
      </w:pPr>
      <w:r w:rsidRPr="00FE2A81">
        <w:rPr>
          <w:rFonts w:ascii="Times New Roman" w:hAnsi="Times New Roman" w:cs="Times New Roman"/>
          <w:bCs/>
          <w:color w:val="000000" w:themeColor="text1"/>
          <w:sz w:val="24"/>
          <w:szCs w:val="24"/>
        </w:rPr>
        <w:drawing>
          <wp:inline distT="0" distB="0" distL="0" distR="0" wp14:anchorId="4B9578DB" wp14:editId="404A4BA4">
            <wp:extent cx="4311038" cy="2945219"/>
            <wp:effectExtent l="0" t="0" r="0" b="7620"/>
            <wp:docPr id="38" name="Picture 38" descr="http://18.224.159.59/wp-content/uploads/2020/05/ESG-Infograph-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18.224.159.59/wp-content/uploads/2020/05/ESG-Infograph-01-2.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18922" cy="2950605"/>
                    </a:xfrm>
                    <a:prstGeom prst="rect">
                      <a:avLst/>
                    </a:prstGeom>
                    <a:noFill/>
                    <a:ln>
                      <a:noFill/>
                    </a:ln>
                  </pic:spPr>
                </pic:pic>
              </a:graphicData>
            </a:graphic>
          </wp:inline>
        </w:drawing>
      </w:r>
    </w:p>
    <w:p w:rsidR="00FE2A81" w:rsidRPr="00FE2A81" w:rsidRDefault="00FE2A81" w:rsidP="00FE2A81">
      <w:pPr>
        <w:pStyle w:val="Caption"/>
        <w:rPr>
          <w:rFonts w:ascii="Times New Roman" w:hAnsi="Times New Roman" w:cs="Times New Roman"/>
          <w:b/>
          <w:bCs/>
          <w:i w:val="0"/>
          <w:color w:val="auto"/>
          <w:sz w:val="36"/>
          <w:szCs w:val="24"/>
        </w:rPr>
      </w:pPr>
      <w:bookmarkStart w:id="222" w:name="_Toc156846099"/>
      <w:r w:rsidRPr="00FE2A81">
        <w:rPr>
          <w:rFonts w:ascii="Times New Roman" w:hAnsi="Times New Roman" w:cs="Times New Roman"/>
          <w:b/>
          <w:i w:val="0"/>
          <w:color w:val="auto"/>
          <w:sz w:val="24"/>
        </w:rPr>
        <w:t xml:space="preserve">Figure </w:t>
      </w:r>
      <w:r w:rsidRPr="00FE2A81">
        <w:rPr>
          <w:rFonts w:ascii="Times New Roman" w:hAnsi="Times New Roman" w:cs="Times New Roman"/>
          <w:b/>
          <w:i w:val="0"/>
          <w:color w:val="auto"/>
          <w:sz w:val="24"/>
        </w:rPr>
        <w:fldChar w:fldCharType="begin"/>
      </w:r>
      <w:r w:rsidRPr="00FE2A81">
        <w:rPr>
          <w:rFonts w:ascii="Times New Roman" w:hAnsi="Times New Roman" w:cs="Times New Roman"/>
          <w:b/>
          <w:i w:val="0"/>
          <w:color w:val="auto"/>
          <w:sz w:val="24"/>
        </w:rPr>
        <w:instrText xml:space="preserve"> SEQ Figure \* ARABIC </w:instrText>
      </w:r>
      <w:r w:rsidRPr="00FE2A81">
        <w:rPr>
          <w:rFonts w:ascii="Times New Roman" w:hAnsi="Times New Roman" w:cs="Times New Roman"/>
          <w:b/>
          <w:i w:val="0"/>
          <w:color w:val="auto"/>
          <w:sz w:val="24"/>
        </w:rPr>
        <w:fldChar w:fldCharType="separate"/>
      </w:r>
      <w:r w:rsidRPr="00FE2A81">
        <w:rPr>
          <w:rFonts w:ascii="Times New Roman" w:hAnsi="Times New Roman" w:cs="Times New Roman"/>
          <w:b/>
          <w:i w:val="0"/>
          <w:noProof/>
          <w:color w:val="auto"/>
          <w:sz w:val="24"/>
        </w:rPr>
        <w:t>23</w:t>
      </w:r>
      <w:bookmarkEnd w:id="222"/>
      <w:r w:rsidRPr="00FE2A81">
        <w:rPr>
          <w:rFonts w:ascii="Times New Roman" w:hAnsi="Times New Roman" w:cs="Times New Roman"/>
          <w:b/>
          <w:i w:val="0"/>
          <w:color w:val="auto"/>
          <w:sz w:val="24"/>
        </w:rPr>
        <w:fldChar w:fldCharType="end"/>
      </w:r>
    </w:p>
    <w:p w:rsidR="00D13639" w:rsidRPr="00B320BE" w:rsidRDefault="00D13639"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23" w:name="_Toc156676350"/>
      <w:bookmarkStart w:id="224" w:name="_Toc156846044"/>
      <w:r w:rsidRPr="001816C6">
        <w:rPr>
          <w:rFonts w:ascii="Times New Roman" w:hAnsi="Times New Roman" w:cs="Times New Roman"/>
          <w:b/>
          <w:color w:val="000000" w:themeColor="text1"/>
          <w:sz w:val="24"/>
          <w:szCs w:val="24"/>
        </w:rPr>
        <w:t>ESG Integration</w:t>
      </w:r>
      <w:bookmarkEnd w:id="223"/>
      <w:bookmarkEnd w:id="224"/>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When looking closer at the individual entities, then a more detailed analysis that reveals changes in integrating ESG principles emerges. </w:t>
      </w:r>
      <w:r w:rsidR="00AF472F" w:rsidRPr="00B320BE">
        <w:rPr>
          <w:rFonts w:ascii="Times New Roman" w:hAnsi="Times New Roman" w:cs="Times New Roman"/>
          <w:bCs/>
          <w:color w:val="000000" w:themeColor="text1"/>
          <w:sz w:val="24"/>
          <w:szCs w:val="24"/>
        </w:rPr>
        <w:t>The data-driven</w:t>
      </w:r>
      <w:r w:rsidRPr="00B320BE">
        <w:rPr>
          <w:rFonts w:ascii="Times New Roman" w:hAnsi="Times New Roman" w:cs="Times New Roman"/>
          <w:bCs/>
          <w:color w:val="000000" w:themeColor="text1"/>
          <w:sz w:val="24"/>
          <w:szCs w:val="24"/>
        </w:rPr>
        <w:t xml:space="preserve"> analysis demonstrates examples of financial institutions steering beyond rhetoric and consistent with the ideals they espouse. The initiatives indicated are fragmented case-by-case to highlight the wide array of approaches taken, including sustainable investment options and integrating climate risk drivers into risk assessment processes. With clarification of such particular tactics, our research points out some practical information on visible actions that financial businesses do </w:t>
      </w:r>
      <w:r w:rsidR="006D3A0F" w:rsidRPr="00B320BE">
        <w:rPr>
          <w:rFonts w:ascii="Times New Roman" w:hAnsi="Times New Roman" w:cs="Times New Roman"/>
          <w:bCs/>
          <w:color w:val="000000" w:themeColor="text1"/>
          <w:sz w:val="24"/>
          <w:szCs w:val="24"/>
        </w:rPr>
        <w:t>to</w:t>
      </w:r>
      <w:r w:rsidRPr="00B320BE">
        <w:rPr>
          <w:rFonts w:ascii="Times New Roman" w:hAnsi="Times New Roman" w:cs="Times New Roman"/>
          <w:bCs/>
          <w:color w:val="000000" w:themeColor="text1"/>
          <w:sz w:val="24"/>
          <w:szCs w:val="24"/>
        </w:rPr>
        <w:t xml:space="preserve"> attain sustainable practices.</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25" w:name="_Toc156676351"/>
      <w:bookmarkStart w:id="226" w:name="_Toc156846045"/>
      <w:r w:rsidRPr="001816C6">
        <w:rPr>
          <w:rFonts w:ascii="Times New Roman" w:hAnsi="Times New Roman" w:cs="Times New Roman"/>
          <w:b/>
          <w:color w:val="000000" w:themeColor="text1"/>
          <w:sz w:val="24"/>
          <w:szCs w:val="24"/>
        </w:rPr>
        <w:t>Climate Risk Mitigation Strategies</w:t>
      </w:r>
      <w:bookmarkEnd w:id="225"/>
      <w:bookmarkEnd w:id="226"/>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With climate-related risks permeating the global environment, our study comprehensively presents an analysis of strategies used by financial institutions to manage such threats. By moving away from abstract theories, we discuss real-world cases of risk management techniques that the financial institutions use to bolster themselves against climate change effects. This section goes deeper than a summary, providing an array of practical examples that could be used as a reference point by institutions working to increase their resilience against climate-related risks.</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27" w:name="_Toc156676352"/>
      <w:bookmarkStart w:id="228" w:name="_Toc156846046"/>
      <w:r w:rsidRPr="001816C6">
        <w:rPr>
          <w:rFonts w:ascii="Times New Roman" w:hAnsi="Times New Roman" w:cs="Times New Roman"/>
          <w:b/>
          <w:color w:val="000000" w:themeColor="text1"/>
          <w:sz w:val="24"/>
          <w:szCs w:val="24"/>
        </w:rPr>
        <w:t>Regulatory Frameworks and Reporting Standards</w:t>
      </w:r>
      <w:bookmarkEnd w:id="227"/>
      <w:bookmarkEnd w:id="228"/>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However, the seismic effects of regulatory frameworks such as NFRD and CSRD spread widely through corporate world. Not only does our analysis of this effect accentuate the compliance point but also touches upon the transformative nature underlying these regulations. Widening the field of view, we consider how these mandates affect organizational channels thus influencing decision-making procedures and forming corporate cultures.</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29" w:name="_Toc156676353"/>
      <w:bookmarkStart w:id="230" w:name="_Toc156846047"/>
      <w:r w:rsidRPr="001816C6">
        <w:rPr>
          <w:rFonts w:ascii="Times New Roman" w:hAnsi="Times New Roman" w:cs="Times New Roman"/>
          <w:b/>
          <w:color w:val="000000" w:themeColor="text1"/>
          <w:sz w:val="24"/>
          <w:szCs w:val="24"/>
        </w:rPr>
        <w:t>Navigating Regulatory Compliance</w:t>
      </w:r>
      <w:bookmarkEnd w:id="229"/>
      <w:bookmarkEnd w:id="230"/>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Our research offers a guide for corporations struggling with the challenges of compliance issues. We unravel the subtleties of compliance, providing a hands-on manual that cuts through reams of </w:t>
      </w:r>
      <w:r w:rsidRPr="00B320BE">
        <w:rPr>
          <w:rFonts w:ascii="Times New Roman" w:hAnsi="Times New Roman" w:cs="Times New Roman"/>
          <w:bCs/>
          <w:color w:val="000000" w:themeColor="text1"/>
          <w:sz w:val="24"/>
          <w:szCs w:val="24"/>
        </w:rPr>
        <w:lastRenderedPageBreak/>
        <w:t>regulations. By analyzing best practices observed in practice, we demonstrate how reporting may be aligned with established frameworks such as the Global Reporting Initiative (GRI), Sustainability Accounting Standards Board (SASB) and Task Force on Climate-related Financial Disclosures. This pragmatic guide therefore becomes an invaluable tool for corporations that seek not only to satisfy regulatory requirements but use them critically towards sustainable business conduct.</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31" w:name="_Toc156676354"/>
      <w:bookmarkStart w:id="232" w:name="_Toc156846048"/>
      <w:r w:rsidRPr="001816C6">
        <w:rPr>
          <w:rFonts w:ascii="Times New Roman" w:hAnsi="Times New Roman" w:cs="Times New Roman"/>
          <w:b/>
          <w:color w:val="000000" w:themeColor="text1"/>
          <w:sz w:val="24"/>
          <w:szCs w:val="24"/>
        </w:rPr>
        <w:t>Impact on Stakeholder Relations</w:t>
      </w:r>
      <w:bookmarkEnd w:id="231"/>
      <w:bookmarkEnd w:id="232"/>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However, to this end</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our research extends the effect of regulation compliance on external relations with stakeholders beyond its initial effects and internal processes. We reveal how the compliance of reporting standards becomes an effective channel through which a company can ensure open communication with stakeholders. With the help of concise case studies, we demonstrate situations when corporations employing reporting frameworks benefit from increased trust and cooperation with investors, buyers</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and civil society organizations.</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33" w:name="_Toc156676355"/>
      <w:bookmarkStart w:id="234" w:name="_Toc156846049"/>
      <w:r w:rsidRPr="001816C6">
        <w:rPr>
          <w:rFonts w:ascii="Times New Roman" w:hAnsi="Times New Roman" w:cs="Times New Roman"/>
          <w:b/>
          <w:color w:val="000000" w:themeColor="text1"/>
          <w:sz w:val="24"/>
          <w:szCs w:val="24"/>
        </w:rPr>
        <w:t>Market Overview and Performance</w:t>
      </w:r>
      <w:bookmarkEnd w:id="233"/>
      <w:bookmarkEnd w:id="234"/>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Our research integrates an element of acute market trend analysis, which is at the heart our revenue model like never before. An analysis of selected entities’ distribution over continents helps us understand not only a statistical cross-section but more importantly, what makes these markets tick. What we do is incorporate the lens advance of </w:t>
      </w:r>
      <w:r w:rsidR="006D3A0F" w:rsidRPr="00B320BE">
        <w:rPr>
          <w:rFonts w:ascii="Times New Roman" w:hAnsi="Times New Roman" w:cs="Times New Roman"/>
          <w:bCs/>
          <w:color w:val="000000" w:themeColor="text1"/>
          <w:sz w:val="24"/>
          <w:szCs w:val="24"/>
        </w:rPr>
        <w:t xml:space="preserve">the </w:t>
      </w:r>
      <w:r w:rsidRPr="00B320BE">
        <w:rPr>
          <w:rFonts w:ascii="Times New Roman" w:hAnsi="Times New Roman" w:cs="Times New Roman"/>
          <w:bCs/>
          <w:color w:val="000000" w:themeColor="text1"/>
          <w:sz w:val="24"/>
          <w:szCs w:val="24"/>
        </w:rPr>
        <w:t xml:space="preserve">European continent, </w:t>
      </w:r>
      <w:r w:rsidR="006D3A0F" w:rsidRPr="00B320BE">
        <w:rPr>
          <w:rFonts w:ascii="Times New Roman" w:hAnsi="Times New Roman" w:cs="Times New Roman"/>
          <w:bCs/>
          <w:color w:val="000000" w:themeColor="text1"/>
          <w:sz w:val="24"/>
          <w:szCs w:val="24"/>
        </w:rPr>
        <w:t>Asia</w:t>
      </w:r>
      <w:r w:rsidRPr="00B320BE">
        <w:rPr>
          <w:rFonts w:ascii="Times New Roman" w:hAnsi="Times New Roman" w:cs="Times New Roman"/>
          <w:bCs/>
          <w:color w:val="000000" w:themeColor="text1"/>
          <w:sz w:val="24"/>
          <w:szCs w:val="24"/>
        </w:rPr>
        <w:t xml:space="preserve"> </w:t>
      </w:r>
      <w:r w:rsidR="006D3A0F" w:rsidRPr="00B320BE">
        <w:rPr>
          <w:rFonts w:ascii="Times New Roman" w:hAnsi="Times New Roman" w:cs="Times New Roman"/>
          <w:bCs/>
          <w:color w:val="000000" w:themeColor="text1"/>
          <w:sz w:val="24"/>
          <w:szCs w:val="24"/>
        </w:rPr>
        <w:t>Pacific</w:t>
      </w:r>
      <w:r w:rsidRPr="00B320BE">
        <w:rPr>
          <w:rFonts w:ascii="Times New Roman" w:hAnsi="Times New Roman" w:cs="Times New Roman"/>
          <w:bCs/>
          <w:color w:val="000000" w:themeColor="text1"/>
          <w:sz w:val="24"/>
          <w:szCs w:val="24"/>
        </w:rPr>
        <w:t xml:space="preserve"> region</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and </w:t>
      </w:r>
      <w:r w:rsidR="006D3A0F" w:rsidRPr="00B320BE">
        <w:rPr>
          <w:rFonts w:ascii="Times New Roman" w:hAnsi="Times New Roman" w:cs="Times New Roman"/>
          <w:bCs/>
          <w:color w:val="000000" w:themeColor="text1"/>
          <w:sz w:val="24"/>
          <w:szCs w:val="24"/>
        </w:rPr>
        <w:t>North</w:t>
      </w:r>
      <w:r w:rsidRPr="00B320BE">
        <w:rPr>
          <w:rFonts w:ascii="Times New Roman" w:hAnsi="Times New Roman" w:cs="Times New Roman"/>
          <w:bCs/>
          <w:color w:val="000000" w:themeColor="text1"/>
          <w:sz w:val="24"/>
          <w:szCs w:val="24"/>
        </w:rPr>
        <w:t xml:space="preserve"> America that enables </w:t>
      </w:r>
      <w:r w:rsidR="006D3A0F" w:rsidRPr="00B320BE">
        <w:rPr>
          <w:rFonts w:ascii="Times New Roman" w:hAnsi="Times New Roman" w:cs="Times New Roman"/>
          <w:bCs/>
          <w:color w:val="000000" w:themeColor="text1"/>
          <w:sz w:val="24"/>
          <w:szCs w:val="24"/>
        </w:rPr>
        <w:t xml:space="preserve">us </w:t>
      </w:r>
      <w:r w:rsidRPr="00B320BE">
        <w:rPr>
          <w:rFonts w:ascii="Times New Roman" w:hAnsi="Times New Roman" w:cs="Times New Roman"/>
          <w:bCs/>
          <w:color w:val="000000" w:themeColor="text1"/>
          <w:sz w:val="24"/>
          <w:szCs w:val="24"/>
        </w:rPr>
        <w:t xml:space="preserve">to transcend </w:t>
      </w:r>
      <w:r w:rsidR="006D3A0F" w:rsidRPr="00B320BE">
        <w:rPr>
          <w:rFonts w:ascii="Times New Roman" w:hAnsi="Times New Roman" w:cs="Times New Roman"/>
          <w:bCs/>
          <w:color w:val="000000" w:themeColor="text1"/>
          <w:sz w:val="24"/>
          <w:szCs w:val="24"/>
        </w:rPr>
        <w:t>from</w:t>
      </w:r>
      <w:r w:rsidRPr="00B320BE">
        <w:rPr>
          <w:rFonts w:ascii="Times New Roman" w:hAnsi="Times New Roman" w:cs="Times New Roman"/>
          <w:bCs/>
          <w:color w:val="000000" w:themeColor="text1"/>
          <w:sz w:val="24"/>
          <w:szCs w:val="24"/>
        </w:rPr>
        <w:t xml:space="preserve"> </w:t>
      </w:r>
      <w:r w:rsidR="006D3A0F" w:rsidRPr="00B320BE">
        <w:rPr>
          <w:rFonts w:ascii="Times New Roman" w:hAnsi="Times New Roman" w:cs="Times New Roman"/>
          <w:bCs/>
          <w:color w:val="000000" w:themeColor="text1"/>
          <w:sz w:val="24"/>
          <w:szCs w:val="24"/>
        </w:rPr>
        <w:t xml:space="preserve">the </w:t>
      </w:r>
      <w:r w:rsidRPr="00B320BE">
        <w:rPr>
          <w:rFonts w:ascii="Times New Roman" w:hAnsi="Times New Roman" w:cs="Times New Roman"/>
          <w:bCs/>
          <w:color w:val="000000" w:themeColor="text1"/>
          <w:sz w:val="24"/>
          <w:szCs w:val="24"/>
        </w:rPr>
        <w:t>numeric standpoint.</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AF472F"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35" w:name="_Toc156676356"/>
      <w:bookmarkStart w:id="236" w:name="_Toc156846050"/>
      <w:r w:rsidRPr="001816C6">
        <w:rPr>
          <w:rFonts w:ascii="Times New Roman" w:hAnsi="Times New Roman" w:cs="Times New Roman"/>
          <w:b/>
          <w:color w:val="000000" w:themeColor="text1"/>
          <w:sz w:val="24"/>
          <w:szCs w:val="24"/>
        </w:rPr>
        <w:t>ESG and Financial Indicators</w:t>
      </w:r>
      <w:bookmarkEnd w:id="235"/>
      <w:bookmarkEnd w:id="236"/>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However, the SWOT analysis does not present itself as a simple to-do list but a symphonic composition where market capitalization, stock returns, Sharpe ratio</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and </w:t>
      </w:r>
      <w:r w:rsidR="006D3A0F" w:rsidRPr="00B320BE">
        <w:rPr>
          <w:rFonts w:ascii="Times New Roman" w:hAnsi="Times New Roman" w:cs="Times New Roman"/>
          <w:bCs/>
          <w:color w:val="000000" w:themeColor="text1"/>
          <w:sz w:val="24"/>
          <w:szCs w:val="24"/>
        </w:rPr>
        <w:t>price-to-book</w:t>
      </w:r>
      <w:r w:rsidRPr="00B320BE">
        <w:rPr>
          <w:rFonts w:ascii="Times New Roman" w:hAnsi="Times New Roman" w:cs="Times New Roman"/>
          <w:bCs/>
          <w:color w:val="000000" w:themeColor="text1"/>
          <w:sz w:val="24"/>
          <w:szCs w:val="24"/>
        </w:rPr>
        <w:t xml:space="preserve"> value orchestrate in concert with each other into an ESG performance. Every financial performance indicator is taken apart, showing the delicate ballet between sustainability activities and profit. This section goes beyond superficial facts, looking at what is underneath them to understand the mechanisms that govern how sustainability influences financial performance.</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AF472F"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37" w:name="_Toc156676357"/>
      <w:bookmarkStart w:id="238" w:name="_Toc156846051"/>
      <w:r w:rsidRPr="001816C6">
        <w:rPr>
          <w:rFonts w:ascii="Times New Roman" w:hAnsi="Times New Roman" w:cs="Times New Roman"/>
          <w:b/>
          <w:color w:val="000000" w:themeColor="text1"/>
          <w:sz w:val="24"/>
          <w:szCs w:val="24"/>
        </w:rPr>
        <w:t>Macro vs. Micro Dynamics</w:t>
      </w:r>
      <w:bookmarkEnd w:id="237"/>
      <w:bookmarkEnd w:id="238"/>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A recurring theme in our studies is the dichotomy of micro and macro-level businesses, that are described here with all possible details. </w:t>
      </w:r>
      <w:r w:rsidR="006D3A0F" w:rsidRPr="00B320BE">
        <w:rPr>
          <w:rFonts w:ascii="Times New Roman" w:hAnsi="Times New Roman" w:cs="Times New Roman"/>
          <w:bCs/>
          <w:color w:val="000000" w:themeColor="text1"/>
          <w:sz w:val="24"/>
          <w:szCs w:val="24"/>
        </w:rPr>
        <w:t>Using</w:t>
      </w:r>
      <w:r w:rsidRPr="00B320BE">
        <w:rPr>
          <w:rFonts w:ascii="Times New Roman" w:hAnsi="Times New Roman" w:cs="Times New Roman"/>
          <w:bCs/>
          <w:color w:val="000000" w:themeColor="text1"/>
          <w:sz w:val="24"/>
          <w:szCs w:val="24"/>
        </w:rPr>
        <w:t xml:space="preserve"> comparative analysis, we explore how large corporations with specialized sustainability units stand out from their SME counterparts. The scope shifts to the instruments and capabilities used by micro SMEs that allow us on one hand to understand how resource scarcity and size considerations </w:t>
      </w:r>
      <w:r w:rsidR="006D3A0F" w:rsidRPr="00B320BE">
        <w:rPr>
          <w:rFonts w:ascii="Times New Roman" w:hAnsi="Times New Roman" w:cs="Times New Roman"/>
          <w:bCs/>
          <w:color w:val="000000" w:themeColor="text1"/>
          <w:sz w:val="24"/>
          <w:szCs w:val="24"/>
        </w:rPr>
        <w:t>affect</w:t>
      </w:r>
      <w:r w:rsidRPr="00B320BE">
        <w:rPr>
          <w:rFonts w:ascii="Times New Roman" w:hAnsi="Times New Roman" w:cs="Times New Roman"/>
          <w:bCs/>
          <w:color w:val="000000" w:themeColor="text1"/>
          <w:sz w:val="24"/>
          <w:szCs w:val="24"/>
        </w:rPr>
        <w:t xml:space="preserve"> their reliance </w:t>
      </w:r>
      <w:r w:rsidR="006D3A0F" w:rsidRPr="00B320BE">
        <w:rPr>
          <w:rFonts w:ascii="Times New Roman" w:hAnsi="Times New Roman" w:cs="Times New Roman"/>
          <w:bCs/>
          <w:color w:val="000000" w:themeColor="text1"/>
          <w:sz w:val="24"/>
          <w:szCs w:val="24"/>
        </w:rPr>
        <w:t>on</w:t>
      </w:r>
      <w:r w:rsidRPr="00B320BE">
        <w:rPr>
          <w:rFonts w:ascii="Times New Roman" w:hAnsi="Times New Roman" w:cs="Times New Roman"/>
          <w:bCs/>
          <w:color w:val="000000" w:themeColor="text1"/>
          <w:sz w:val="24"/>
          <w:szCs w:val="24"/>
        </w:rPr>
        <w:t xml:space="preserve"> sustainability. This highly focused analysis transcends sweeping generalizations to grasp the delicate intricacies of challenges and prospects faced by businesses at different scales.</w:t>
      </w:r>
    </w:p>
    <w:p w:rsidR="0020133B" w:rsidRPr="00B320BE" w:rsidRDefault="0020133B" w:rsidP="00B320BE">
      <w:pPr>
        <w:spacing w:line="360" w:lineRule="auto"/>
        <w:jc w:val="both"/>
        <w:rPr>
          <w:rFonts w:ascii="Times New Roman" w:hAnsi="Times New Roman" w:cs="Times New Roman"/>
          <w:b/>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39" w:name="_Toc156676358"/>
      <w:bookmarkStart w:id="240" w:name="_Toc156846052"/>
      <w:r w:rsidRPr="001816C6">
        <w:rPr>
          <w:rFonts w:ascii="Times New Roman" w:hAnsi="Times New Roman" w:cs="Times New Roman"/>
          <w:b/>
          <w:color w:val="000000" w:themeColor="text1"/>
          <w:sz w:val="24"/>
          <w:szCs w:val="24"/>
        </w:rPr>
        <w:t>Adherence to Sustainable Development Goals (SDGs)</w:t>
      </w:r>
      <w:bookmarkEnd w:id="239"/>
      <w:bookmarkEnd w:id="240"/>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Through such a thorough assessment of ESG frameworks in comparison to the SDG 17 goals, our study boldly moves towards promoting </w:t>
      </w:r>
      <w:r w:rsidR="006D3A0F" w:rsidRPr="00B320BE">
        <w:rPr>
          <w:rFonts w:ascii="Times New Roman" w:hAnsi="Times New Roman" w:cs="Times New Roman"/>
          <w:bCs/>
          <w:color w:val="000000" w:themeColor="text1"/>
          <w:sz w:val="24"/>
          <w:szCs w:val="24"/>
        </w:rPr>
        <w:t xml:space="preserve">a </w:t>
      </w:r>
      <w:r w:rsidRPr="00B320BE">
        <w:rPr>
          <w:rFonts w:ascii="Times New Roman" w:hAnsi="Times New Roman" w:cs="Times New Roman"/>
          <w:bCs/>
          <w:color w:val="000000" w:themeColor="text1"/>
          <w:sz w:val="24"/>
          <w:szCs w:val="24"/>
        </w:rPr>
        <w:t>global perspective. This critical analysis crosses beyond the budget realm, developing a compelling tale that considers corporations as participants in broader global ambitions.</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41" w:name="_Toc156676359"/>
      <w:bookmarkStart w:id="242" w:name="_Toc156846053"/>
      <w:r w:rsidRPr="001816C6">
        <w:rPr>
          <w:rFonts w:ascii="Times New Roman" w:hAnsi="Times New Roman" w:cs="Times New Roman"/>
          <w:b/>
          <w:color w:val="000000" w:themeColor="text1"/>
          <w:sz w:val="24"/>
          <w:szCs w:val="24"/>
        </w:rPr>
        <w:t>SDGs as Guiding Principles</w:t>
      </w:r>
      <w:bookmarkEnd w:id="241"/>
      <w:bookmarkEnd w:id="242"/>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The research puts 17 SDGs as no goals-private lower but, instead shows such guiding principles becoming coronal strategies of firms. Drawing on a critical investigation, we demonstrate how corporates work towards gender equality and job satisfaction equity along with providing social security among many other aspects represented in the SDGs. The compatibility of the ESG frameworks with global goals creates a powerful narrative for corporations to play as architect-for positive changes on a global scale</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43" w:name="_Toc156676360"/>
      <w:bookmarkStart w:id="244" w:name="_Toc156846054"/>
      <w:r w:rsidRPr="001816C6">
        <w:rPr>
          <w:rFonts w:ascii="Times New Roman" w:hAnsi="Times New Roman" w:cs="Times New Roman"/>
          <w:b/>
          <w:color w:val="000000" w:themeColor="text1"/>
          <w:sz w:val="24"/>
          <w:szCs w:val="24"/>
        </w:rPr>
        <w:t>Global Impact of Corporate Actions</w:t>
      </w:r>
      <w:bookmarkEnd w:id="243"/>
      <w:bookmarkEnd w:id="244"/>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Our</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study provides a means by which stakeholders can perceive the global effect that corporate actions have on SDGs. This section also moves beyond the statements and demonstrates that by complying with ESG reporting standards, corporations become engines to address global issues. </w:t>
      </w:r>
      <w:r w:rsidRPr="00B320BE">
        <w:rPr>
          <w:rFonts w:ascii="Times New Roman" w:hAnsi="Times New Roman" w:cs="Times New Roman"/>
          <w:bCs/>
          <w:color w:val="000000" w:themeColor="text1"/>
          <w:sz w:val="24"/>
          <w:szCs w:val="24"/>
        </w:rPr>
        <w:lastRenderedPageBreak/>
        <w:t>In its entirety, the global audience learns to understand how corporations located beyond national borders can become part and parcel of creating a sustainable future.</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45" w:name="_Toc156676361"/>
      <w:bookmarkStart w:id="246" w:name="_Toc156846055"/>
      <w:r w:rsidRPr="001816C6">
        <w:rPr>
          <w:rFonts w:ascii="Times New Roman" w:hAnsi="Times New Roman" w:cs="Times New Roman"/>
          <w:b/>
          <w:color w:val="000000" w:themeColor="text1"/>
          <w:sz w:val="24"/>
          <w:szCs w:val="24"/>
        </w:rPr>
        <w:t>Integration of ESG into Business Strategies</w:t>
      </w:r>
      <w:bookmarkEnd w:id="245"/>
      <w:bookmarkEnd w:id="246"/>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The creation of sustainability departments in large firms as a strategic move is much more than incorporating the principle function into business strategies. This section digs deeper into </w:t>
      </w:r>
      <w:r w:rsidR="00AF472F" w:rsidRPr="00B320BE">
        <w:rPr>
          <w:rFonts w:ascii="Times New Roman" w:hAnsi="Times New Roman" w:cs="Times New Roman"/>
          <w:bCs/>
          <w:color w:val="000000" w:themeColor="text1"/>
          <w:sz w:val="24"/>
          <w:szCs w:val="24"/>
        </w:rPr>
        <w:t xml:space="preserve">the </w:t>
      </w:r>
      <w:r w:rsidRPr="00B320BE">
        <w:rPr>
          <w:rFonts w:ascii="Times New Roman" w:hAnsi="Times New Roman" w:cs="Times New Roman"/>
          <w:bCs/>
          <w:color w:val="000000" w:themeColor="text1"/>
          <w:sz w:val="24"/>
          <w:szCs w:val="24"/>
        </w:rPr>
        <w:t>underlying reasons behind such strategic shifts investigating changing attitudes, practices</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and procedures that allow corporations not only to meet sustainability standards but </w:t>
      </w:r>
      <w:r w:rsidR="006D3A0F" w:rsidRPr="00B320BE">
        <w:rPr>
          <w:rFonts w:ascii="Times New Roman" w:hAnsi="Times New Roman" w:cs="Times New Roman"/>
          <w:bCs/>
          <w:color w:val="000000" w:themeColor="text1"/>
          <w:sz w:val="24"/>
          <w:szCs w:val="24"/>
        </w:rPr>
        <w:t xml:space="preserve">also </w:t>
      </w:r>
      <w:r w:rsidRPr="00B320BE">
        <w:rPr>
          <w:rFonts w:ascii="Times New Roman" w:hAnsi="Times New Roman" w:cs="Times New Roman"/>
          <w:bCs/>
          <w:color w:val="000000" w:themeColor="text1"/>
          <w:sz w:val="24"/>
          <w:szCs w:val="24"/>
        </w:rPr>
        <w:t>incorporate them as an intrinsic part of the organization’s identity.</w:t>
      </w:r>
    </w:p>
    <w:p w:rsidR="0020133B" w:rsidRPr="00B320BE" w:rsidRDefault="0020133B" w:rsidP="00B320BE">
      <w:pPr>
        <w:spacing w:line="360" w:lineRule="auto"/>
        <w:jc w:val="both"/>
        <w:rPr>
          <w:rFonts w:ascii="Times New Roman" w:hAnsi="Times New Roman" w:cs="Times New Roman"/>
          <w:b/>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47" w:name="_Toc156676362"/>
      <w:bookmarkStart w:id="248" w:name="_Toc156846056"/>
      <w:r w:rsidRPr="001816C6">
        <w:rPr>
          <w:rFonts w:ascii="Times New Roman" w:hAnsi="Times New Roman" w:cs="Times New Roman"/>
          <w:b/>
          <w:color w:val="000000" w:themeColor="text1"/>
          <w:sz w:val="24"/>
          <w:szCs w:val="24"/>
        </w:rPr>
        <w:t>Strategic Imperatives for Macro Corporations</w:t>
      </w:r>
      <w:bookmarkEnd w:id="247"/>
      <w:bookmarkEnd w:id="248"/>
    </w:p>
    <w:p w:rsidR="00D8539D" w:rsidRPr="00B320BE" w:rsidRDefault="00D8539D"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For macro corporations to make some sense of the intricacies involved in integration with sustainability, our research is an unfolding of strategic directives. We discuss how these entities, spurred by the promise of large investments, create dedicated sustainability departments. These departments are motivations, challenges</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and success. They represent </w:t>
      </w:r>
      <w:r w:rsidR="006D3A0F" w:rsidRPr="00B320BE">
        <w:rPr>
          <w:rFonts w:ascii="Times New Roman" w:hAnsi="Times New Roman" w:cs="Times New Roman"/>
          <w:bCs/>
          <w:color w:val="000000" w:themeColor="text1"/>
          <w:sz w:val="24"/>
          <w:szCs w:val="24"/>
        </w:rPr>
        <w:t xml:space="preserve">a </w:t>
      </w:r>
      <w:r w:rsidRPr="00B320BE">
        <w:rPr>
          <w:rFonts w:ascii="Times New Roman" w:hAnsi="Times New Roman" w:cs="Times New Roman"/>
          <w:bCs/>
          <w:color w:val="000000" w:themeColor="text1"/>
          <w:sz w:val="24"/>
          <w:szCs w:val="24"/>
        </w:rPr>
        <w:t xml:space="preserve">playbook for corporations </w:t>
      </w:r>
      <w:r w:rsidR="006D3A0F" w:rsidRPr="00B320BE">
        <w:rPr>
          <w:rFonts w:ascii="Times New Roman" w:hAnsi="Times New Roman" w:cs="Times New Roman"/>
          <w:bCs/>
          <w:color w:val="000000" w:themeColor="text1"/>
          <w:sz w:val="24"/>
          <w:szCs w:val="24"/>
        </w:rPr>
        <w:t>that</w:t>
      </w:r>
      <w:r w:rsidRPr="00B320BE">
        <w:rPr>
          <w:rFonts w:ascii="Times New Roman" w:hAnsi="Times New Roman" w:cs="Times New Roman"/>
          <w:bCs/>
          <w:color w:val="000000" w:themeColor="text1"/>
          <w:sz w:val="24"/>
          <w:szCs w:val="24"/>
        </w:rPr>
        <w:t xml:space="preserve"> aspire </w:t>
      </w:r>
      <w:r w:rsidR="006D3A0F" w:rsidRPr="00B320BE">
        <w:rPr>
          <w:rFonts w:ascii="Times New Roman" w:hAnsi="Times New Roman" w:cs="Times New Roman"/>
          <w:bCs/>
          <w:color w:val="000000" w:themeColor="text1"/>
          <w:sz w:val="24"/>
          <w:szCs w:val="24"/>
        </w:rPr>
        <w:t>to weave</w:t>
      </w:r>
      <w:r w:rsidRPr="00B320BE">
        <w:rPr>
          <w:rFonts w:ascii="Times New Roman" w:hAnsi="Times New Roman" w:cs="Times New Roman"/>
          <w:bCs/>
          <w:color w:val="000000" w:themeColor="text1"/>
          <w:sz w:val="24"/>
          <w:szCs w:val="24"/>
        </w:rPr>
        <w:t xml:space="preserve"> sustainability </w:t>
      </w:r>
      <w:r w:rsidR="006D3A0F" w:rsidRPr="00B320BE">
        <w:rPr>
          <w:rFonts w:ascii="Times New Roman" w:hAnsi="Times New Roman" w:cs="Times New Roman"/>
          <w:bCs/>
          <w:color w:val="000000" w:themeColor="text1"/>
          <w:sz w:val="24"/>
          <w:szCs w:val="24"/>
        </w:rPr>
        <w:t>into</w:t>
      </w:r>
      <w:r w:rsidRPr="00B320BE">
        <w:rPr>
          <w:rFonts w:ascii="Times New Roman" w:hAnsi="Times New Roman" w:cs="Times New Roman"/>
          <w:bCs/>
          <w:color w:val="000000" w:themeColor="text1"/>
          <w:sz w:val="24"/>
          <w:szCs w:val="24"/>
        </w:rPr>
        <w:t xml:space="preserve"> their business plans as smoothly as possible.</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49" w:name="_Toc156676363"/>
      <w:bookmarkStart w:id="250" w:name="_Toc156846057"/>
      <w:r w:rsidRPr="001816C6">
        <w:rPr>
          <w:rFonts w:ascii="Times New Roman" w:hAnsi="Times New Roman" w:cs="Times New Roman"/>
          <w:b/>
          <w:color w:val="000000" w:themeColor="text1"/>
          <w:sz w:val="24"/>
          <w:szCs w:val="24"/>
        </w:rPr>
        <w:t>Tools for Micro and Medium-sized Businesses</w:t>
      </w:r>
      <w:bookmarkEnd w:id="249"/>
      <w:bookmarkEnd w:id="250"/>
    </w:p>
    <w:p w:rsidR="00D8539D"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In addition, the narrative does not rely only on macro enterprises but sheds light upon micro and medium entrepreneurs. </w:t>
      </w:r>
      <w:r w:rsidR="00D8539D" w:rsidRPr="00B320BE">
        <w:rPr>
          <w:rFonts w:ascii="Times New Roman" w:hAnsi="Times New Roman" w:cs="Times New Roman"/>
          <w:bCs/>
          <w:color w:val="000000" w:themeColor="text1"/>
          <w:sz w:val="24"/>
          <w:szCs w:val="24"/>
        </w:rPr>
        <w:t xml:space="preserve">For the reasons of size and budget, these companies leverage a diverse array of tools in an attempt to measure success with sustainability. Our study helped to enhance the understanding of Annunziata et al. (2018) and further contribute </w:t>
      </w:r>
      <w:r w:rsidR="006D3A0F" w:rsidRPr="00B320BE">
        <w:rPr>
          <w:rFonts w:ascii="Times New Roman" w:hAnsi="Times New Roman" w:cs="Times New Roman"/>
          <w:bCs/>
          <w:color w:val="000000" w:themeColor="text1"/>
          <w:sz w:val="24"/>
          <w:szCs w:val="24"/>
        </w:rPr>
        <w:t>to</w:t>
      </w:r>
      <w:r w:rsidR="00D8539D" w:rsidRPr="00B320BE">
        <w:rPr>
          <w:rFonts w:ascii="Times New Roman" w:hAnsi="Times New Roman" w:cs="Times New Roman"/>
          <w:bCs/>
          <w:color w:val="000000" w:themeColor="text1"/>
          <w:sz w:val="24"/>
          <w:szCs w:val="24"/>
        </w:rPr>
        <w:t xml:space="preserve"> their knowledge base as far as why businesses that value sustainability should invest in formulating tools and capacities concerned. This section is not solely a theoretical interpretation but rather an operational manual for small enterprises trying to find their route in the landscape of sustainability.</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51" w:name="_Toc156676364"/>
      <w:bookmarkStart w:id="252" w:name="_Toc156846058"/>
      <w:r w:rsidRPr="001816C6">
        <w:rPr>
          <w:rFonts w:ascii="Times New Roman" w:hAnsi="Times New Roman" w:cs="Times New Roman"/>
          <w:b/>
          <w:color w:val="000000" w:themeColor="text1"/>
          <w:sz w:val="24"/>
          <w:szCs w:val="24"/>
        </w:rPr>
        <w:lastRenderedPageBreak/>
        <w:t>ESG Herding and Investor Behavior</w:t>
      </w:r>
      <w:bookmarkEnd w:id="251"/>
      <w:bookmarkEnd w:id="252"/>
    </w:p>
    <w:p w:rsidR="004B0C5E"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Through our study of investor behavior in ESG issues, we have elucidated a more comprehensive perspective of herding behavior. This section goes much further than a surface-level analysis, providing an in-depth study of ESG performance and investor </w:t>
      </w:r>
      <w:r w:rsidR="006D3A0F" w:rsidRPr="00B320BE">
        <w:rPr>
          <w:rFonts w:ascii="Times New Roman" w:hAnsi="Times New Roman" w:cs="Times New Roman"/>
          <w:bCs/>
          <w:color w:val="000000" w:themeColor="text1"/>
          <w:sz w:val="24"/>
          <w:szCs w:val="24"/>
        </w:rPr>
        <w:t>decision-making</w:t>
      </w:r>
      <w:r w:rsidR="00AF472F" w:rsidRPr="00B320BE">
        <w:rPr>
          <w:rFonts w:ascii="Times New Roman" w:hAnsi="Times New Roman" w:cs="Times New Roman"/>
          <w:bCs/>
          <w:color w:val="000000" w:themeColor="text1"/>
          <w:sz w:val="24"/>
          <w:szCs w:val="24"/>
        </w:rPr>
        <w:t xml:space="preserve">. </w:t>
      </w:r>
      <w:r w:rsidRPr="00B320BE">
        <w:rPr>
          <w:rFonts w:ascii="Times New Roman" w:hAnsi="Times New Roman" w:cs="Times New Roman"/>
          <w:bCs/>
          <w:color w:val="000000" w:themeColor="text1"/>
          <w:sz w:val="24"/>
          <w:szCs w:val="24"/>
        </w:rPr>
        <w:t xml:space="preserve">The lack of much literature on herding toward ESG stocks raises questions about the deep influence that ESG pertinence has </w:t>
      </w:r>
      <w:r w:rsidR="006D3A0F" w:rsidRPr="00B320BE">
        <w:rPr>
          <w:rFonts w:ascii="Times New Roman" w:hAnsi="Times New Roman" w:cs="Times New Roman"/>
          <w:bCs/>
          <w:color w:val="000000" w:themeColor="text1"/>
          <w:sz w:val="24"/>
          <w:szCs w:val="24"/>
        </w:rPr>
        <w:t>on</w:t>
      </w:r>
      <w:r w:rsidRPr="00B320BE">
        <w:rPr>
          <w:rFonts w:ascii="Times New Roman" w:hAnsi="Times New Roman" w:cs="Times New Roman"/>
          <w:bCs/>
          <w:color w:val="000000" w:themeColor="text1"/>
          <w:sz w:val="24"/>
          <w:szCs w:val="24"/>
        </w:rPr>
        <w:t xml:space="preserve"> </w:t>
      </w:r>
      <w:r w:rsidR="006D3A0F" w:rsidRPr="00B320BE">
        <w:rPr>
          <w:rFonts w:ascii="Times New Roman" w:hAnsi="Times New Roman" w:cs="Times New Roman"/>
          <w:bCs/>
          <w:color w:val="000000" w:themeColor="text1"/>
          <w:sz w:val="24"/>
          <w:szCs w:val="24"/>
        </w:rPr>
        <w:t>investors becoming</w:t>
      </w:r>
      <w:r w:rsidRPr="00B320BE">
        <w:rPr>
          <w:rFonts w:ascii="Times New Roman" w:hAnsi="Times New Roman" w:cs="Times New Roman"/>
          <w:bCs/>
          <w:color w:val="000000" w:themeColor="text1"/>
          <w:sz w:val="24"/>
          <w:szCs w:val="24"/>
        </w:rPr>
        <w:t xml:space="preserve"> an extensive review, our study places ESG investments as a particular approach in viewing the herding behavior. The emerging trend in investor choices towards ESG stocks along with increased attention from academia to companies implementing more effective environmental, social</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and governance practices provides grounds for deepening one’s knowledge </w:t>
      </w:r>
      <w:r w:rsidR="006D3A0F" w:rsidRPr="00B320BE">
        <w:rPr>
          <w:rFonts w:ascii="Times New Roman" w:hAnsi="Times New Roman" w:cs="Times New Roman"/>
          <w:bCs/>
          <w:color w:val="000000" w:themeColor="text1"/>
          <w:sz w:val="24"/>
          <w:szCs w:val="24"/>
        </w:rPr>
        <w:t>of</w:t>
      </w:r>
      <w:r w:rsidRPr="00B320BE">
        <w:rPr>
          <w:rFonts w:ascii="Times New Roman" w:hAnsi="Times New Roman" w:cs="Times New Roman"/>
          <w:bCs/>
          <w:color w:val="000000" w:themeColor="text1"/>
          <w:sz w:val="24"/>
          <w:szCs w:val="24"/>
        </w:rPr>
        <w:t xml:space="preserve"> herd behavior.</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53" w:name="_Toc156676365"/>
      <w:bookmarkStart w:id="254" w:name="_Toc156846059"/>
      <w:r w:rsidRPr="001816C6">
        <w:rPr>
          <w:rFonts w:ascii="Times New Roman" w:hAnsi="Times New Roman" w:cs="Times New Roman"/>
          <w:b/>
          <w:color w:val="000000" w:themeColor="text1"/>
          <w:sz w:val="24"/>
          <w:szCs w:val="24"/>
        </w:rPr>
        <w:t>Implications for Decision-Making and Portfolio Management</w:t>
      </w:r>
      <w:bookmarkEnd w:id="253"/>
      <w:bookmarkEnd w:id="254"/>
    </w:p>
    <w:p w:rsidR="004B0C5E"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ESG herding wisdom augments not only the process of </w:t>
      </w:r>
      <w:r w:rsidR="006D3A0F" w:rsidRPr="00B320BE">
        <w:rPr>
          <w:rFonts w:ascii="Times New Roman" w:hAnsi="Times New Roman" w:cs="Times New Roman"/>
          <w:bCs/>
          <w:color w:val="000000" w:themeColor="text1"/>
          <w:sz w:val="24"/>
          <w:szCs w:val="24"/>
        </w:rPr>
        <w:t>decision-making</w:t>
      </w:r>
      <w:r w:rsidRPr="00B320BE">
        <w:rPr>
          <w:rFonts w:ascii="Times New Roman" w:hAnsi="Times New Roman" w:cs="Times New Roman"/>
          <w:bCs/>
          <w:color w:val="000000" w:themeColor="text1"/>
          <w:sz w:val="24"/>
          <w:szCs w:val="24"/>
        </w:rPr>
        <w:t xml:space="preserve"> about investing but also what we could call two basic processes governing portfolio building–the well-diversified and efficient models. This </w:t>
      </w:r>
      <w:r w:rsidR="006D3A0F" w:rsidRPr="00B320BE">
        <w:rPr>
          <w:rFonts w:ascii="Times New Roman" w:hAnsi="Times New Roman" w:cs="Times New Roman"/>
          <w:bCs/>
          <w:color w:val="000000" w:themeColor="text1"/>
          <w:sz w:val="24"/>
          <w:szCs w:val="24"/>
        </w:rPr>
        <w:t>sheds</w:t>
      </w:r>
      <w:r w:rsidRPr="00B320BE">
        <w:rPr>
          <w:rFonts w:ascii="Times New Roman" w:hAnsi="Times New Roman" w:cs="Times New Roman"/>
          <w:bCs/>
          <w:color w:val="000000" w:themeColor="text1"/>
          <w:sz w:val="24"/>
          <w:szCs w:val="24"/>
        </w:rPr>
        <w:t xml:space="preserve"> light on the subtleties of herd behavior prompted by ESG considerations and others, providing readers with a more rounded understanding of what motivates investors to match their preferences with green investments. The implications for portfolio management become most significant, making the way clear to </w:t>
      </w:r>
      <w:r w:rsidR="006D3A0F" w:rsidRPr="00B320BE">
        <w:rPr>
          <w:rFonts w:ascii="Times New Roman" w:hAnsi="Times New Roman" w:cs="Times New Roman"/>
          <w:bCs/>
          <w:color w:val="000000" w:themeColor="text1"/>
          <w:sz w:val="24"/>
          <w:szCs w:val="24"/>
        </w:rPr>
        <w:t>guide</w:t>
      </w:r>
      <w:r w:rsidRPr="00B320BE">
        <w:rPr>
          <w:rFonts w:ascii="Times New Roman" w:hAnsi="Times New Roman" w:cs="Times New Roman"/>
          <w:bCs/>
          <w:color w:val="000000" w:themeColor="text1"/>
          <w:sz w:val="24"/>
          <w:szCs w:val="24"/>
        </w:rPr>
        <w:t xml:space="preserve"> investors that can smoothen out through </w:t>
      </w:r>
      <w:r w:rsidR="006D3A0F" w:rsidRPr="00B320BE">
        <w:rPr>
          <w:rFonts w:ascii="Times New Roman" w:hAnsi="Times New Roman" w:cs="Times New Roman"/>
          <w:bCs/>
          <w:color w:val="000000" w:themeColor="text1"/>
          <w:sz w:val="24"/>
          <w:szCs w:val="24"/>
        </w:rPr>
        <w:t>ESG's</w:t>
      </w:r>
      <w:r w:rsidRPr="00B320BE">
        <w:rPr>
          <w:rFonts w:ascii="Times New Roman" w:hAnsi="Times New Roman" w:cs="Times New Roman"/>
          <w:bCs/>
          <w:color w:val="000000" w:themeColor="text1"/>
          <w:sz w:val="24"/>
          <w:szCs w:val="24"/>
        </w:rPr>
        <w:t xml:space="preserve"> investment’ evolving terrains with skill and understanding.</w:t>
      </w:r>
    </w:p>
    <w:p w:rsidR="00AF472F" w:rsidRPr="00B320BE" w:rsidRDefault="00AF472F" w:rsidP="00B320BE">
      <w:pPr>
        <w:spacing w:line="360" w:lineRule="auto"/>
        <w:jc w:val="both"/>
        <w:rPr>
          <w:rFonts w:ascii="Times New Roman" w:hAnsi="Times New Roman" w:cs="Times New Roman"/>
          <w:bCs/>
          <w:color w:val="000000" w:themeColor="text1"/>
          <w:sz w:val="24"/>
          <w:szCs w:val="24"/>
        </w:rPr>
      </w:pPr>
    </w:p>
    <w:p w:rsidR="00980BB7" w:rsidRPr="001816C6" w:rsidRDefault="00980BB7" w:rsidP="00B320BE">
      <w:pPr>
        <w:pStyle w:val="Heading2"/>
        <w:spacing w:line="360" w:lineRule="auto"/>
        <w:jc w:val="both"/>
        <w:rPr>
          <w:rFonts w:ascii="Times New Roman" w:hAnsi="Times New Roman" w:cs="Times New Roman"/>
          <w:b/>
          <w:color w:val="000000" w:themeColor="text1"/>
          <w:sz w:val="24"/>
          <w:szCs w:val="24"/>
        </w:rPr>
      </w:pPr>
      <w:bookmarkStart w:id="255" w:name="_Toc156676366"/>
      <w:bookmarkStart w:id="256" w:name="_Toc156846060"/>
      <w:r w:rsidRPr="001816C6">
        <w:rPr>
          <w:rFonts w:ascii="Times New Roman" w:hAnsi="Times New Roman" w:cs="Times New Roman"/>
          <w:b/>
          <w:color w:val="000000" w:themeColor="text1"/>
          <w:sz w:val="24"/>
          <w:szCs w:val="24"/>
        </w:rPr>
        <w:t>SWOT Analysis</w:t>
      </w:r>
      <w:bookmarkEnd w:id="255"/>
      <w:bookmarkEnd w:id="256"/>
    </w:p>
    <w:p w:rsidR="004B0C5E"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The SWOT analysis acts as a navigation developed to help managers make decisions. Our in-depth analysis of their SWOT for financial institutions sheds more light than a simple checklist.</w:t>
      </w:r>
    </w:p>
    <w:p w:rsidR="004B0C5E"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The strengths that were highlighted, including the long-term goals to invest time in asset management</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become more than just attributes. Our study unveils the layers revealing how these strengths are </w:t>
      </w:r>
      <w:r w:rsidR="006D3A0F" w:rsidRPr="00B320BE">
        <w:rPr>
          <w:rFonts w:ascii="Times New Roman" w:hAnsi="Times New Roman" w:cs="Times New Roman"/>
          <w:bCs/>
          <w:color w:val="000000" w:themeColor="text1"/>
          <w:sz w:val="24"/>
          <w:szCs w:val="24"/>
        </w:rPr>
        <w:t>cornerstones</w:t>
      </w:r>
      <w:r w:rsidRPr="00B320BE">
        <w:rPr>
          <w:rFonts w:ascii="Times New Roman" w:hAnsi="Times New Roman" w:cs="Times New Roman"/>
          <w:bCs/>
          <w:color w:val="000000" w:themeColor="text1"/>
          <w:sz w:val="24"/>
          <w:szCs w:val="24"/>
        </w:rPr>
        <w:t xml:space="preserve"> in sustainability. Case studies, empirical evidence, and practical instances provide working examples </w:t>
      </w:r>
      <w:r w:rsidR="006D3A0F" w:rsidRPr="00B320BE">
        <w:rPr>
          <w:rFonts w:ascii="Times New Roman" w:hAnsi="Times New Roman" w:cs="Times New Roman"/>
          <w:bCs/>
          <w:color w:val="000000" w:themeColor="text1"/>
          <w:sz w:val="24"/>
          <w:szCs w:val="24"/>
        </w:rPr>
        <w:t>of</w:t>
      </w:r>
      <w:r w:rsidRPr="00B320BE">
        <w:rPr>
          <w:rFonts w:ascii="Times New Roman" w:hAnsi="Times New Roman" w:cs="Times New Roman"/>
          <w:bCs/>
          <w:color w:val="000000" w:themeColor="text1"/>
          <w:sz w:val="24"/>
          <w:szCs w:val="24"/>
        </w:rPr>
        <w:t xml:space="preserve"> these strengths; </w:t>
      </w:r>
      <w:r w:rsidR="00AF472F" w:rsidRPr="00B320BE">
        <w:rPr>
          <w:rFonts w:ascii="Times New Roman" w:hAnsi="Times New Roman" w:cs="Times New Roman"/>
          <w:bCs/>
          <w:color w:val="000000" w:themeColor="text1"/>
          <w:sz w:val="24"/>
          <w:szCs w:val="24"/>
        </w:rPr>
        <w:t>therefore,</w:t>
      </w:r>
      <w:r w:rsidRPr="00B320BE">
        <w:rPr>
          <w:rFonts w:ascii="Times New Roman" w:hAnsi="Times New Roman" w:cs="Times New Roman"/>
          <w:bCs/>
          <w:color w:val="000000" w:themeColor="text1"/>
          <w:sz w:val="24"/>
          <w:szCs w:val="24"/>
        </w:rPr>
        <w:t xml:space="preserve"> in a sense not abstract concepts but rather real assets driving financial institutions towards sustainable leadership qualities. Such identification of weaknesses such as investment policy loopholes and operational disruptions, </w:t>
      </w:r>
      <w:r w:rsidR="006D3A0F" w:rsidRPr="00B320BE">
        <w:rPr>
          <w:rFonts w:ascii="Times New Roman" w:hAnsi="Times New Roman" w:cs="Times New Roman"/>
          <w:bCs/>
          <w:color w:val="000000" w:themeColor="text1"/>
          <w:sz w:val="24"/>
          <w:szCs w:val="24"/>
        </w:rPr>
        <w:t>is</w:t>
      </w:r>
      <w:r w:rsidRPr="00B320BE">
        <w:rPr>
          <w:rFonts w:ascii="Times New Roman" w:hAnsi="Times New Roman" w:cs="Times New Roman"/>
          <w:bCs/>
          <w:color w:val="000000" w:themeColor="text1"/>
          <w:sz w:val="24"/>
          <w:szCs w:val="24"/>
        </w:rPr>
        <w:t xml:space="preserve"> </w:t>
      </w:r>
      <w:r w:rsidRPr="00B320BE">
        <w:rPr>
          <w:rFonts w:ascii="Times New Roman" w:hAnsi="Times New Roman" w:cs="Times New Roman"/>
          <w:bCs/>
          <w:color w:val="000000" w:themeColor="text1"/>
          <w:sz w:val="24"/>
          <w:szCs w:val="24"/>
        </w:rPr>
        <w:lastRenderedPageBreak/>
        <w:t xml:space="preserve">not simply a matter to enumerate the vulnerabilities. </w:t>
      </w:r>
      <w:r w:rsidR="00B910FC" w:rsidRPr="00B910FC">
        <w:rPr>
          <w:rFonts w:ascii="Times New Roman" w:hAnsi="Times New Roman" w:cs="Times New Roman"/>
          <w:bCs/>
          <w:color w:val="000000" w:themeColor="text1"/>
          <w:sz w:val="24"/>
          <w:szCs w:val="24"/>
        </w:rPr>
        <w:t>According to our results, deficiency transforms itself into remedial need. Based on the in-depth assessment of such underlying weaknesses and their implications, we offer guidance for financial institutions to meaningfully build up a better foundation for sustainability frameworks. This section does not only serve diagnostic purposes, but it also studies applicability and provides prescriptive guidance through an aggressive approach to vulnerabilities.</w:t>
      </w:r>
    </w:p>
    <w:p w:rsidR="00AF472F" w:rsidRDefault="00B910FC" w:rsidP="00B320BE">
      <w:pPr>
        <w:spacing w:line="360" w:lineRule="auto"/>
        <w:jc w:val="both"/>
        <w:rPr>
          <w:rFonts w:ascii="Times New Roman" w:hAnsi="Times New Roman" w:cs="Times New Roman"/>
          <w:bCs/>
          <w:color w:val="000000" w:themeColor="text1"/>
          <w:sz w:val="24"/>
          <w:szCs w:val="24"/>
        </w:rPr>
      </w:pPr>
      <w:r w:rsidRPr="00B910FC">
        <w:rPr>
          <w:rFonts w:ascii="Times New Roman" w:hAnsi="Times New Roman" w:cs="Times New Roman"/>
          <w:bCs/>
          <w:color w:val="000000" w:themeColor="text1"/>
          <w:sz w:val="24"/>
          <w:szCs w:val="24"/>
        </w:rPr>
        <w:t>Our SWOT analysis’s highlighted opportunities are not just theories. We provide an outline of growth prospects ranging from using the sustainable disclosure principles to implementing full-scale training initiatives on ESG certification. Consistently, with the focus on theoretical implication and practical implications, our research diving into these opportunities gives financial institutions a roadmap to take them towards long-term growth through strategic initiatives. Threats that can be associated with regulatory changes and variations in market conditions are not presented as unbeatable challenges but represent manageable dangers. Our research presents a number of possibilities to mitigate the risks including regulatory changes and overcoming market scenarios. This section is strengthening the financial establishments’ conquest by describing how to be more resilient amid threats.</w:t>
      </w:r>
    </w:p>
    <w:p w:rsidR="00D13639" w:rsidRPr="00B320BE" w:rsidRDefault="00D13639" w:rsidP="00B320BE">
      <w:pPr>
        <w:spacing w:line="360" w:lineRule="auto"/>
        <w:jc w:val="both"/>
        <w:rPr>
          <w:rFonts w:ascii="Times New Roman" w:hAnsi="Times New Roman" w:cs="Times New Roman"/>
          <w:bCs/>
          <w:color w:val="000000" w:themeColor="text1"/>
          <w:sz w:val="24"/>
          <w:szCs w:val="24"/>
        </w:rPr>
      </w:pPr>
    </w:p>
    <w:p w:rsidR="00006C5C" w:rsidRPr="001816C6" w:rsidRDefault="00006C5C" w:rsidP="00B320BE">
      <w:pPr>
        <w:pStyle w:val="Heading2"/>
        <w:spacing w:line="360" w:lineRule="auto"/>
        <w:jc w:val="both"/>
        <w:rPr>
          <w:rFonts w:ascii="Times New Roman" w:hAnsi="Times New Roman" w:cs="Times New Roman"/>
          <w:b/>
          <w:color w:val="000000" w:themeColor="text1"/>
          <w:sz w:val="24"/>
          <w:szCs w:val="24"/>
        </w:rPr>
      </w:pPr>
      <w:bookmarkStart w:id="257" w:name="_Toc156676367"/>
      <w:bookmarkStart w:id="258" w:name="_Toc156846061"/>
      <w:r w:rsidRPr="001816C6">
        <w:rPr>
          <w:rFonts w:ascii="Times New Roman" w:hAnsi="Times New Roman" w:cs="Times New Roman"/>
          <w:b/>
          <w:color w:val="000000" w:themeColor="text1"/>
          <w:sz w:val="24"/>
          <w:szCs w:val="24"/>
        </w:rPr>
        <w:t>Recommendations</w:t>
      </w:r>
      <w:bookmarkEnd w:id="257"/>
      <w:bookmarkEnd w:id="258"/>
    </w:p>
    <w:p w:rsidR="00AF472F" w:rsidRDefault="00B910FC" w:rsidP="00B320BE">
      <w:pPr>
        <w:spacing w:line="360" w:lineRule="auto"/>
        <w:jc w:val="both"/>
        <w:rPr>
          <w:rFonts w:ascii="Times New Roman" w:hAnsi="Times New Roman" w:cs="Times New Roman"/>
          <w:bCs/>
          <w:color w:val="000000" w:themeColor="text1"/>
          <w:sz w:val="24"/>
          <w:szCs w:val="24"/>
        </w:rPr>
      </w:pPr>
      <w:r w:rsidRPr="00B910FC">
        <w:rPr>
          <w:rFonts w:ascii="Times New Roman" w:hAnsi="Times New Roman" w:cs="Times New Roman"/>
          <w:bCs/>
          <w:color w:val="000000" w:themeColor="text1"/>
          <w:sz w:val="24"/>
          <w:szCs w:val="24"/>
        </w:rPr>
        <w:t>Based on this detailed analysis, several recommendations specific to the financial institutions toward reaching sustainable high performance are drawn. These recommendations move away from generalized solutions and provide guidelines specific to institutions of different sizes, with varying capabilities.</w:t>
      </w:r>
    </w:p>
    <w:p w:rsidR="00B910FC" w:rsidRPr="00B320BE" w:rsidRDefault="00B910FC" w:rsidP="00B320BE">
      <w:pPr>
        <w:spacing w:line="360" w:lineRule="auto"/>
        <w:jc w:val="both"/>
        <w:rPr>
          <w:rFonts w:ascii="Times New Roman" w:hAnsi="Times New Roman" w:cs="Times New Roman"/>
          <w:bCs/>
          <w:color w:val="000000" w:themeColor="text1"/>
          <w:sz w:val="24"/>
          <w:szCs w:val="24"/>
        </w:rPr>
      </w:pPr>
    </w:p>
    <w:p w:rsidR="00006C5C" w:rsidRPr="001816C6" w:rsidRDefault="00006C5C" w:rsidP="00B320BE">
      <w:pPr>
        <w:pStyle w:val="Heading3"/>
        <w:spacing w:line="360" w:lineRule="auto"/>
        <w:jc w:val="both"/>
        <w:rPr>
          <w:rFonts w:ascii="Times New Roman" w:hAnsi="Times New Roman" w:cs="Times New Roman"/>
          <w:b/>
          <w:color w:val="000000" w:themeColor="text1"/>
        </w:rPr>
      </w:pPr>
      <w:bookmarkStart w:id="259" w:name="_Toc156676368"/>
      <w:bookmarkStart w:id="260" w:name="_Toc156846062"/>
      <w:r w:rsidRPr="001816C6">
        <w:rPr>
          <w:rFonts w:ascii="Times New Roman" w:hAnsi="Times New Roman" w:cs="Times New Roman"/>
          <w:b/>
          <w:color w:val="000000" w:themeColor="text1"/>
        </w:rPr>
        <w:t>Remedial Actions for Identified Problems</w:t>
      </w:r>
      <w:bookmarkEnd w:id="259"/>
      <w:bookmarkEnd w:id="260"/>
    </w:p>
    <w:p w:rsidR="00AF472F" w:rsidRDefault="00B910FC" w:rsidP="00B320BE">
      <w:pPr>
        <w:spacing w:line="360" w:lineRule="auto"/>
        <w:jc w:val="both"/>
        <w:rPr>
          <w:rFonts w:ascii="Times New Roman" w:hAnsi="Times New Roman" w:cs="Times New Roman"/>
          <w:bCs/>
          <w:color w:val="000000" w:themeColor="text1"/>
          <w:sz w:val="24"/>
          <w:szCs w:val="24"/>
        </w:rPr>
      </w:pPr>
      <w:r w:rsidRPr="00B910FC">
        <w:rPr>
          <w:rFonts w:ascii="Times New Roman" w:hAnsi="Times New Roman" w:cs="Times New Roman"/>
          <w:bCs/>
          <w:color w:val="000000" w:themeColor="text1"/>
          <w:sz w:val="24"/>
          <w:szCs w:val="24"/>
        </w:rPr>
        <w:t xml:space="preserve">The major recommendation offers a coordinated action plan for financial firms in order to resolve the issues that have been put forward. Feasible solutions are offered by various stopgap measures ranging from eliminating loopholes in investment policies to improving operational capacities. In every weakness identified, our customized set of actions can be implemented by the institutions to secure a systematic approach for developing sustainability. This is a tool-kit for sustainable </w:t>
      </w:r>
      <w:r w:rsidRPr="00B910FC">
        <w:rPr>
          <w:rFonts w:ascii="Times New Roman" w:hAnsi="Times New Roman" w:cs="Times New Roman"/>
          <w:bCs/>
          <w:color w:val="000000" w:themeColor="text1"/>
          <w:sz w:val="24"/>
          <w:szCs w:val="24"/>
        </w:rPr>
        <w:lastRenderedPageBreak/>
        <w:t>superiority which does not have ‘one size fits all’ but appreciates that each institution has particular problems.</w:t>
      </w:r>
    </w:p>
    <w:p w:rsidR="00B910FC" w:rsidRPr="00B320BE" w:rsidRDefault="00B910FC" w:rsidP="00B320BE">
      <w:pPr>
        <w:spacing w:line="360" w:lineRule="auto"/>
        <w:jc w:val="both"/>
        <w:rPr>
          <w:rFonts w:ascii="Times New Roman" w:hAnsi="Times New Roman" w:cs="Times New Roman"/>
          <w:bCs/>
          <w:color w:val="000000" w:themeColor="text1"/>
          <w:sz w:val="24"/>
          <w:szCs w:val="24"/>
        </w:rPr>
      </w:pPr>
    </w:p>
    <w:p w:rsidR="00006C5C" w:rsidRPr="001816C6" w:rsidRDefault="00006C5C" w:rsidP="00B320BE">
      <w:pPr>
        <w:pStyle w:val="Heading3"/>
        <w:spacing w:line="360" w:lineRule="auto"/>
        <w:jc w:val="both"/>
        <w:rPr>
          <w:rFonts w:ascii="Times New Roman" w:hAnsi="Times New Roman" w:cs="Times New Roman"/>
          <w:b/>
          <w:color w:val="000000" w:themeColor="text1"/>
        </w:rPr>
      </w:pPr>
      <w:bookmarkStart w:id="261" w:name="_Toc156676369"/>
      <w:bookmarkStart w:id="262" w:name="_Toc156846063"/>
      <w:r w:rsidRPr="001816C6">
        <w:rPr>
          <w:rFonts w:ascii="Times New Roman" w:hAnsi="Times New Roman" w:cs="Times New Roman"/>
          <w:b/>
          <w:color w:val="000000" w:themeColor="text1"/>
        </w:rPr>
        <w:t xml:space="preserve">Gap </w:t>
      </w:r>
      <w:r w:rsidR="00AF472F" w:rsidRPr="001816C6">
        <w:rPr>
          <w:rFonts w:ascii="Times New Roman" w:hAnsi="Times New Roman" w:cs="Times New Roman"/>
          <w:b/>
          <w:color w:val="000000" w:themeColor="text1"/>
        </w:rPr>
        <w:t>Analysis and Policy Enhancement</w:t>
      </w:r>
      <w:bookmarkEnd w:id="261"/>
      <w:bookmarkEnd w:id="262"/>
    </w:p>
    <w:p w:rsidR="004B0C5E"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Perform a gap analysis of the policies on investments that are already in place, highlighting areas for improvement. Strengthen policies to achieve sustainable goals, integrating ESG principles into the investment decision-making mechanisms.</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006C5C" w:rsidRPr="001816C6" w:rsidRDefault="00006C5C" w:rsidP="00B320BE">
      <w:pPr>
        <w:pStyle w:val="Heading3"/>
        <w:spacing w:line="360" w:lineRule="auto"/>
        <w:jc w:val="both"/>
        <w:rPr>
          <w:rFonts w:ascii="Times New Roman" w:hAnsi="Times New Roman" w:cs="Times New Roman"/>
          <w:b/>
          <w:color w:val="000000" w:themeColor="text1"/>
        </w:rPr>
      </w:pPr>
      <w:bookmarkStart w:id="263" w:name="_Toc156676370"/>
      <w:bookmarkStart w:id="264" w:name="_Toc156846064"/>
      <w:r w:rsidRPr="001816C6">
        <w:rPr>
          <w:rFonts w:ascii="Times New Roman" w:hAnsi="Times New Roman" w:cs="Times New Roman"/>
          <w:b/>
          <w:color w:val="000000" w:themeColor="text1"/>
        </w:rPr>
        <w:t>O</w:t>
      </w:r>
      <w:r w:rsidR="002E032D" w:rsidRPr="001816C6">
        <w:rPr>
          <w:rFonts w:ascii="Times New Roman" w:hAnsi="Times New Roman" w:cs="Times New Roman"/>
          <w:b/>
          <w:color w:val="000000" w:themeColor="text1"/>
        </w:rPr>
        <w:t>perational Resilience Framework</w:t>
      </w:r>
      <w:bookmarkEnd w:id="263"/>
      <w:bookmarkEnd w:id="264"/>
    </w:p>
    <w:p w:rsidR="004B0C5E"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Create and enforce an operational resilience framework that allows the organizations to counteract anticipated disruptors. This includes resolving the weak points revealed by SWOT analysis as well as ensuring business continuity in addressing acute or chronic physical risks.</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006C5C" w:rsidRPr="001816C6" w:rsidRDefault="00006C5C" w:rsidP="00B320BE">
      <w:pPr>
        <w:pStyle w:val="Heading3"/>
        <w:spacing w:line="360" w:lineRule="auto"/>
        <w:jc w:val="both"/>
        <w:rPr>
          <w:rFonts w:ascii="Times New Roman" w:hAnsi="Times New Roman" w:cs="Times New Roman"/>
          <w:b/>
          <w:color w:val="000000" w:themeColor="text1"/>
        </w:rPr>
      </w:pPr>
      <w:bookmarkStart w:id="265" w:name="_Toc156676371"/>
      <w:bookmarkStart w:id="266" w:name="_Toc156846065"/>
      <w:r w:rsidRPr="001816C6">
        <w:rPr>
          <w:rFonts w:ascii="Times New Roman" w:hAnsi="Times New Roman" w:cs="Times New Roman"/>
          <w:b/>
          <w:color w:val="000000" w:themeColor="text1"/>
        </w:rPr>
        <w:t>Climate Risk Identification and Inte</w:t>
      </w:r>
      <w:r w:rsidR="002E032D" w:rsidRPr="001816C6">
        <w:rPr>
          <w:rFonts w:ascii="Times New Roman" w:hAnsi="Times New Roman" w:cs="Times New Roman"/>
          <w:b/>
          <w:color w:val="000000" w:themeColor="text1"/>
        </w:rPr>
        <w:t>gration</w:t>
      </w:r>
      <w:bookmarkEnd w:id="265"/>
      <w:bookmarkEnd w:id="266"/>
    </w:p>
    <w:p w:rsidR="004B0C5E"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Improve climate risk identification measures for a quick response to risks associated with climate. Unify climate risk drivers into the assessment of risks and liquidity, allowing a broad view of possible effects.</w:t>
      </w:r>
    </w:p>
    <w:p w:rsidR="002E032D" w:rsidRDefault="00A12C3F" w:rsidP="00B320BE">
      <w:pPr>
        <w:spacing w:line="360" w:lineRule="auto"/>
        <w:jc w:val="both"/>
        <w:rPr>
          <w:rFonts w:ascii="Times New Roman" w:hAnsi="Times New Roman" w:cs="Times New Roman"/>
          <w:bCs/>
          <w:color w:val="000000" w:themeColor="text1"/>
          <w:sz w:val="24"/>
          <w:szCs w:val="24"/>
        </w:rPr>
      </w:pPr>
      <w:r>
        <w:rPr>
          <w:noProof/>
        </w:rPr>
        <w:lastRenderedPageBreak/>
        <mc:AlternateContent>
          <mc:Choice Requires="wps">
            <w:drawing>
              <wp:anchor distT="0" distB="0" distL="114300" distR="114300" simplePos="0" relativeHeight="251685888" behindDoc="0" locked="0" layoutInCell="1" allowOverlap="1" wp14:anchorId="7D44A37F" wp14:editId="4D4145EF">
                <wp:simplePos x="0" y="0"/>
                <wp:positionH relativeFrom="column">
                  <wp:posOffset>344170</wp:posOffset>
                </wp:positionH>
                <wp:positionV relativeFrom="paragraph">
                  <wp:posOffset>4902835</wp:posOffset>
                </wp:positionV>
                <wp:extent cx="5118100" cy="635"/>
                <wp:effectExtent l="0" t="0" r="0" b="0"/>
                <wp:wrapSquare wrapText="bothSides"/>
                <wp:docPr id="37" name="Text Box 37"/>
                <wp:cNvGraphicFramePr/>
                <a:graphic xmlns:a="http://schemas.openxmlformats.org/drawingml/2006/main">
                  <a:graphicData uri="http://schemas.microsoft.com/office/word/2010/wordprocessingShape">
                    <wps:wsp>
                      <wps:cNvSpPr txBox="1"/>
                      <wps:spPr>
                        <a:xfrm>
                          <a:off x="0" y="0"/>
                          <a:ext cx="5118100" cy="635"/>
                        </a:xfrm>
                        <a:prstGeom prst="rect">
                          <a:avLst/>
                        </a:prstGeom>
                        <a:solidFill>
                          <a:prstClr val="white"/>
                        </a:solidFill>
                        <a:ln>
                          <a:noFill/>
                        </a:ln>
                      </wps:spPr>
                      <wps:txbx>
                        <w:txbxContent>
                          <w:p w:rsidR="00A12C3F" w:rsidRPr="00A12C3F" w:rsidRDefault="00A12C3F" w:rsidP="00A12C3F">
                            <w:pPr>
                              <w:pStyle w:val="Caption"/>
                              <w:rPr>
                                <w:rFonts w:ascii="Times New Roman" w:hAnsi="Times New Roman" w:cs="Times New Roman"/>
                                <w:b/>
                                <w:bCs/>
                                <w:i w:val="0"/>
                                <w:noProof/>
                                <w:color w:val="auto"/>
                                <w:sz w:val="36"/>
                                <w:szCs w:val="24"/>
                              </w:rPr>
                            </w:pPr>
                            <w:bookmarkStart w:id="267" w:name="_Toc156846100"/>
                            <w:r w:rsidRPr="00A12C3F">
                              <w:rPr>
                                <w:rFonts w:ascii="Times New Roman" w:hAnsi="Times New Roman" w:cs="Times New Roman"/>
                                <w:b/>
                                <w:i w:val="0"/>
                                <w:color w:val="auto"/>
                                <w:sz w:val="24"/>
                              </w:rPr>
                              <w:t xml:space="preserve">Figure </w:t>
                            </w:r>
                            <w:r w:rsidRPr="00A12C3F">
                              <w:rPr>
                                <w:rFonts w:ascii="Times New Roman" w:hAnsi="Times New Roman" w:cs="Times New Roman"/>
                                <w:b/>
                                <w:i w:val="0"/>
                                <w:color w:val="auto"/>
                                <w:sz w:val="24"/>
                              </w:rPr>
                              <w:fldChar w:fldCharType="begin"/>
                            </w:r>
                            <w:r w:rsidRPr="00A12C3F">
                              <w:rPr>
                                <w:rFonts w:ascii="Times New Roman" w:hAnsi="Times New Roman" w:cs="Times New Roman"/>
                                <w:b/>
                                <w:i w:val="0"/>
                                <w:color w:val="auto"/>
                                <w:sz w:val="24"/>
                              </w:rPr>
                              <w:instrText xml:space="preserve"> SEQ Figure \* ARABIC </w:instrText>
                            </w:r>
                            <w:r w:rsidRPr="00A12C3F">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24</w:t>
                            </w:r>
                            <w:bookmarkEnd w:id="267"/>
                            <w:r w:rsidRPr="00A12C3F">
                              <w:rPr>
                                <w:rFonts w:ascii="Times New Roman" w:hAnsi="Times New Roman" w:cs="Times New Roman"/>
                                <w:b/>
                                <w:i w:val="0"/>
                                <w:color w:val="auto"/>
                                <w:sz w:val="2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44A37F" id="Text Box 37" o:spid="_x0000_s1033" type="#_x0000_t202" style="position:absolute;left:0;text-align:left;margin-left:27.1pt;margin-top:386.05pt;width:403pt;height:.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" stroked="f">
                <v:textbox style="mso-fit-shape-to-text:t" inset="0,0,0,0">
                  <w:txbxContent>
                    <w:p w:rsidR="00A12C3F" w:rsidRPr="00A12C3F" w:rsidRDefault="00A12C3F" w:rsidP="00A12C3F">
                      <w:pPr>
                        <w:pStyle w:val="Caption"/>
                        <w:rPr>
                          <w:rFonts w:ascii="Times New Roman" w:hAnsi="Times New Roman" w:cs="Times New Roman"/>
                          <w:b/>
                          <w:bCs/>
                          <w:i w:val="0"/>
                          <w:noProof/>
                          <w:color w:val="auto"/>
                          <w:sz w:val="36"/>
                          <w:szCs w:val="24"/>
                        </w:rPr>
                      </w:pPr>
                      <w:bookmarkStart w:id="268" w:name="_Toc156846100"/>
                      <w:r w:rsidRPr="00A12C3F">
                        <w:rPr>
                          <w:rFonts w:ascii="Times New Roman" w:hAnsi="Times New Roman" w:cs="Times New Roman"/>
                          <w:b/>
                          <w:i w:val="0"/>
                          <w:color w:val="auto"/>
                          <w:sz w:val="24"/>
                        </w:rPr>
                        <w:t xml:space="preserve">Figure </w:t>
                      </w:r>
                      <w:r w:rsidRPr="00A12C3F">
                        <w:rPr>
                          <w:rFonts w:ascii="Times New Roman" w:hAnsi="Times New Roman" w:cs="Times New Roman"/>
                          <w:b/>
                          <w:i w:val="0"/>
                          <w:color w:val="auto"/>
                          <w:sz w:val="24"/>
                        </w:rPr>
                        <w:fldChar w:fldCharType="begin"/>
                      </w:r>
                      <w:r w:rsidRPr="00A12C3F">
                        <w:rPr>
                          <w:rFonts w:ascii="Times New Roman" w:hAnsi="Times New Roman" w:cs="Times New Roman"/>
                          <w:b/>
                          <w:i w:val="0"/>
                          <w:color w:val="auto"/>
                          <w:sz w:val="24"/>
                        </w:rPr>
                        <w:instrText xml:space="preserve"> SEQ Figure \* ARABIC </w:instrText>
                      </w:r>
                      <w:r w:rsidRPr="00A12C3F">
                        <w:rPr>
                          <w:rFonts w:ascii="Times New Roman" w:hAnsi="Times New Roman" w:cs="Times New Roman"/>
                          <w:b/>
                          <w:i w:val="0"/>
                          <w:color w:val="auto"/>
                          <w:sz w:val="24"/>
                        </w:rPr>
                        <w:fldChar w:fldCharType="separate"/>
                      </w:r>
                      <w:r w:rsidR="00FE2A81">
                        <w:rPr>
                          <w:rFonts w:ascii="Times New Roman" w:hAnsi="Times New Roman" w:cs="Times New Roman"/>
                          <w:b/>
                          <w:i w:val="0"/>
                          <w:noProof/>
                          <w:color w:val="auto"/>
                          <w:sz w:val="24"/>
                        </w:rPr>
                        <w:t>24</w:t>
                      </w:r>
                      <w:bookmarkEnd w:id="268"/>
                      <w:r w:rsidRPr="00A12C3F">
                        <w:rPr>
                          <w:rFonts w:ascii="Times New Roman" w:hAnsi="Times New Roman" w:cs="Times New Roman"/>
                          <w:b/>
                          <w:i w:val="0"/>
                          <w:color w:val="auto"/>
                          <w:sz w:val="24"/>
                        </w:rPr>
                        <w:fldChar w:fldCharType="end"/>
                      </w:r>
                    </w:p>
                  </w:txbxContent>
                </v:textbox>
                <w10:wrap type="square"/>
              </v:shape>
            </w:pict>
          </mc:Fallback>
        </mc:AlternateContent>
      </w:r>
      <w:r>
        <w:rPr>
          <w:rFonts w:ascii="Times New Roman" w:hAnsi="Times New Roman" w:cs="Times New Roman"/>
          <w:bCs/>
          <w:noProof/>
          <w:color w:val="000000" w:themeColor="text1"/>
          <w:sz w:val="24"/>
          <w:szCs w:val="24"/>
        </w:rPr>
        <w:drawing>
          <wp:anchor distT="0" distB="0" distL="114300" distR="114300" simplePos="0" relativeHeight="251683840" behindDoc="0" locked="0" layoutInCell="1" allowOverlap="1" wp14:anchorId="5C24B2F8" wp14:editId="06F2C96F">
            <wp:simplePos x="0" y="0"/>
            <wp:positionH relativeFrom="column">
              <wp:posOffset>344170</wp:posOffset>
            </wp:positionH>
            <wp:positionV relativeFrom="paragraph">
              <wp:posOffset>226695</wp:posOffset>
            </wp:positionV>
            <wp:extent cx="5118100" cy="4618990"/>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8">
                      <a:extLst>
                        <a:ext uri="{BEBA8EAE-BF5A-486C-A8C5-ECC9F3942E4B}">
                          <a14:imgProps xmlns:a14="http://schemas.microsoft.com/office/drawing/2010/main">
                            <a14:imgLayer r:embed="rId49">
                              <a14:imgEffect>
                                <a14:sharpenSoften amount="25000"/>
                              </a14:imgEffect>
                            </a14:imgLayer>
                          </a14:imgProps>
                        </a:ext>
                        <a:ext uri="{28A0092B-C50C-407E-A947-70E740481C1C}">
                          <a14:useLocalDpi xmlns:a14="http://schemas.microsoft.com/office/drawing/2010/main" val="0"/>
                        </a:ext>
                      </a:extLst>
                    </a:blip>
                    <a:srcRect l="23551" r="22740"/>
                    <a:stretch/>
                  </pic:blipFill>
                  <pic:spPr bwMode="auto">
                    <a:xfrm>
                      <a:off x="0" y="0"/>
                      <a:ext cx="5118100" cy="4618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12C3F" w:rsidRDefault="00A12C3F" w:rsidP="00B320BE">
      <w:pPr>
        <w:spacing w:line="360" w:lineRule="auto"/>
        <w:jc w:val="both"/>
        <w:rPr>
          <w:rFonts w:ascii="Times New Roman" w:hAnsi="Times New Roman" w:cs="Times New Roman"/>
          <w:bCs/>
          <w:color w:val="000000" w:themeColor="text1"/>
          <w:sz w:val="24"/>
          <w:szCs w:val="24"/>
        </w:rPr>
      </w:pPr>
    </w:p>
    <w:p w:rsidR="00A12C3F" w:rsidRDefault="00A12C3F" w:rsidP="00B320BE">
      <w:pPr>
        <w:spacing w:line="360" w:lineRule="auto"/>
        <w:jc w:val="both"/>
        <w:rPr>
          <w:rFonts w:ascii="Times New Roman" w:hAnsi="Times New Roman" w:cs="Times New Roman"/>
          <w:bCs/>
          <w:color w:val="000000" w:themeColor="text1"/>
          <w:sz w:val="24"/>
          <w:szCs w:val="24"/>
        </w:rPr>
      </w:pPr>
    </w:p>
    <w:p w:rsidR="00A12C3F" w:rsidRPr="00B320BE" w:rsidRDefault="00A12C3F" w:rsidP="00B320BE">
      <w:pPr>
        <w:spacing w:line="360" w:lineRule="auto"/>
        <w:jc w:val="both"/>
        <w:rPr>
          <w:rFonts w:ascii="Times New Roman" w:hAnsi="Times New Roman" w:cs="Times New Roman"/>
          <w:bCs/>
          <w:color w:val="000000" w:themeColor="text1"/>
          <w:sz w:val="24"/>
          <w:szCs w:val="24"/>
        </w:rPr>
      </w:pPr>
    </w:p>
    <w:p w:rsidR="00006C5C" w:rsidRPr="001816C6" w:rsidRDefault="002E032D" w:rsidP="00B320BE">
      <w:pPr>
        <w:pStyle w:val="Heading3"/>
        <w:spacing w:line="360" w:lineRule="auto"/>
        <w:jc w:val="both"/>
        <w:rPr>
          <w:rFonts w:ascii="Times New Roman" w:hAnsi="Times New Roman" w:cs="Times New Roman"/>
          <w:b/>
          <w:color w:val="000000" w:themeColor="text1"/>
        </w:rPr>
      </w:pPr>
      <w:bookmarkStart w:id="269" w:name="_Toc156676372"/>
      <w:bookmarkStart w:id="270" w:name="_Toc156846066"/>
      <w:r w:rsidRPr="001816C6">
        <w:rPr>
          <w:rFonts w:ascii="Times New Roman" w:hAnsi="Times New Roman" w:cs="Times New Roman"/>
          <w:b/>
          <w:color w:val="000000" w:themeColor="text1"/>
        </w:rPr>
        <w:t>Training Programs for Staff</w:t>
      </w:r>
      <w:bookmarkEnd w:id="269"/>
      <w:bookmarkEnd w:id="270"/>
    </w:p>
    <w:p w:rsidR="002E032D"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Implement widespread training initiatives for staff, centered on ESG concepts and sustainable techniques. This not only creates internal competences but also promotes </w:t>
      </w:r>
      <w:r w:rsidR="006D3A0F" w:rsidRPr="00B320BE">
        <w:rPr>
          <w:rFonts w:ascii="Times New Roman" w:hAnsi="Times New Roman" w:cs="Times New Roman"/>
          <w:bCs/>
          <w:color w:val="000000" w:themeColor="text1"/>
          <w:sz w:val="24"/>
          <w:szCs w:val="24"/>
        </w:rPr>
        <w:t>a</w:t>
      </w:r>
      <w:r w:rsidRPr="00B320BE">
        <w:rPr>
          <w:rFonts w:ascii="Times New Roman" w:hAnsi="Times New Roman" w:cs="Times New Roman"/>
          <w:bCs/>
          <w:color w:val="000000" w:themeColor="text1"/>
          <w:sz w:val="24"/>
          <w:szCs w:val="24"/>
        </w:rPr>
        <w:t xml:space="preserve"> culture of awareness about sustainability among employees.</w:t>
      </w:r>
    </w:p>
    <w:p w:rsidR="00543033" w:rsidRPr="00B320BE" w:rsidRDefault="00543033" w:rsidP="00B320BE">
      <w:pPr>
        <w:spacing w:line="360" w:lineRule="auto"/>
        <w:jc w:val="both"/>
        <w:rPr>
          <w:rFonts w:ascii="Times New Roman" w:hAnsi="Times New Roman" w:cs="Times New Roman"/>
          <w:bCs/>
          <w:color w:val="000000" w:themeColor="text1"/>
          <w:sz w:val="24"/>
          <w:szCs w:val="24"/>
        </w:rPr>
      </w:pPr>
    </w:p>
    <w:p w:rsidR="004B0C5E" w:rsidRPr="001816C6" w:rsidRDefault="002E032D" w:rsidP="00B320BE">
      <w:pPr>
        <w:pStyle w:val="Heading3"/>
        <w:spacing w:line="360" w:lineRule="auto"/>
        <w:jc w:val="both"/>
        <w:rPr>
          <w:rFonts w:ascii="Times New Roman" w:hAnsi="Times New Roman" w:cs="Times New Roman"/>
          <w:b/>
          <w:color w:val="000000" w:themeColor="text1"/>
        </w:rPr>
      </w:pPr>
      <w:bookmarkStart w:id="271" w:name="_Toc156676373"/>
      <w:bookmarkStart w:id="272" w:name="_Toc156846067"/>
      <w:r w:rsidRPr="001816C6">
        <w:rPr>
          <w:rFonts w:ascii="Times New Roman" w:hAnsi="Times New Roman" w:cs="Times New Roman"/>
          <w:b/>
          <w:color w:val="000000" w:themeColor="text1"/>
        </w:rPr>
        <w:t>Further Research Areas</w:t>
      </w:r>
      <w:bookmarkEnd w:id="271"/>
      <w:bookmarkEnd w:id="272"/>
    </w:p>
    <w:p w:rsidR="004B0C5E" w:rsidRPr="00B320BE" w:rsidRDefault="006D3A0F"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The second</w:t>
      </w:r>
      <w:r w:rsidR="004B0C5E" w:rsidRPr="00B320BE">
        <w:rPr>
          <w:rFonts w:ascii="Times New Roman" w:hAnsi="Times New Roman" w:cs="Times New Roman"/>
          <w:bCs/>
          <w:color w:val="000000" w:themeColor="text1"/>
          <w:sz w:val="24"/>
          <w:szCs w:val="24"/>
        </w:rPr>
        <w:t xml:space="preserve"> suggested adjustments allow us to enter the unexplored lands of sustainable financing. Whether delving deeper into other financial stock indicators or using more advanced models to study herd behavior, these ideas can be viewed as a guide for researchers wanting to further the frontiers of knowledge.</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006C5C" w:rsidRPr="001816C6" w:rsidRDefault="00006C5C" w:rsidP="00B320BE">
      <w:pPr>
        <w:pStyle w:val="Heading3"/>
        <w:spacing w:line="360" w:lineRule="auto"/>
        <w:jc w:val="both"/>
        <w:rPr>
          <w:rFonts w:ascii="Times New Roman" w:hAnsi="Times New Roman" w:cs="Times New Roman"/>
          <w:b/>
          <w:color w:val="000000" w:themeColor="text1"/>
        </w:rPr>
      </w:pPr>
      <w:bookmarkStart w:id="273" w:name="_Toc156676374"/>
      <w:bookmarkStart w:id="274" w:name="_Toc156846068"/>
      <w:r w:rsidRPr="001816C6">
        <w:rPr>
          <w:rFonts w:ascii="Times New Roman" w:hAnsi="Times New Roman" w:cs="Times New Roman"/>
          <w:b/>
          <w:color w:val="000000" w:themeColor="text1"/>
        </w:rPr>
        <w:t xml:space="preserve">Exploring </w:t>
      </w:r>
      <w:r w:rsidR="002E032D" w:rsidRPr="001816C6">
        <w:rPr>
          <w:rFonts w:ascii="Times New Roman" w:hAnsi="Times New Roman" w:cs="Times New Roman"/>
          <w:b/>
          <w:color w:val="000000" w:themeColor="text1"/>
        </w:rPr>
        <w:t>Additional Financial Indicators</w:t>
      </w:r>
      <w:bookmarkEnd w:id="273"/>
      <w:bookmarkEnd w:id="274"/>
    </w:p>
    <w:p w:rsidR="004B0C5E"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Examine more financial stock indices including Price to earnings (P/E), price to cash flow (P/CF), return on equity(ROA), volatility, and return on assets (RA). This offers a broader perspective on the financial situation, complementing current observations.</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4B0C5E" w:rsidRPr="001816C6" w:rsidRDefault="002E032D" w:rsidP="00B320BE">
      <w:pPr>
        <w:pStyle w:val="Heading3"/>
        <w:spacing w:line="360" w:lineRule="auto"/>
        <w:jc w:val="both"/>
        <w:rPr>
          <w:rFonts w:ascii="Times New Roman" w:hAnsi="Times New Roman" w:cs="Times New Roman"/>
          <w:b/>
          <w:color w:val="000000" w:themeColor="text1"/>
        </w:rPr>
      </w:pPr>
      <w:bookmarkStart w:id="275" w:name="_Toc156676375"/>
      <w:bookmarkStart w:id="276" w:name="_Toc156846069"/>
      <w:r w:rsidRPr="001816C6">
        <w:rPr>
          <w:rFonts w:ascii="Times New Roman" w:hAnsi="Times New Roman" w:cs="Times New Roman"/>
          <w:b/>
          <w:color w:val="000000" w:themeColor="text1"/>
        </w:rPr>
        <w:t>Dynamic Herding Analysis</w:t>
      </w:r>
      <w:bookmarkEnd w:id="275"/>
      <w:bookmarkEnd w:id="276"/>
    </w:p>
    <w:p w:rsidR="004B0C5E" w:rsidRPr="00B320BE" w:rsidRDefault="004B0C5E"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Perform empirical research on sophisticated models such as DCC-MIDAS (Dynamic Conditional Correlation with Mixed Data Sampling) in order to investigate the moving beta herd behavior. This provides a more nuanced understanding of </w:t>
      </w:r>
      <w:r w:rsidR="006D3A0F" w:rsidRPr="00B320BE">
        <w:rPr>
          <w:rFonts w:ascii="Times New Roman" w:hAnsi="Times New Roman" w:cs="Times New Roman"/>
          <w:bCs/>
          <w:color w:val="000000" w:themeColor="text1"/>
          <w:sz w:val="24"/>
          <w:szCs w:val="24"/>
        </w:rPr>
        <w:t>how</w:t>
      </w:r>
      <w:r w:rsidRPr="00B320BE">
        <w:rPr>
          <w:rFonts w:ascii="Times New Roman" w:hAnsi="Times New Roman" w:cs="Times New Roman"/>
          <w:bCs/>
          <w:color w:val="000000" w:themeColor="text1"/>
          <w:sz w:val="24"/>
          <w:szCs w:val="24"/>
        </w:rPr>
        <w:t xml:space="preserve"> ESG factors impact investors’ decisions through time and contributes to an emerging area, namely behavioral finance.</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006C5C" w:rsidRPr="001816C6" w:rsidRDefault="002E032D" w:rsidP="00B320BE">
      <w:pPr>
        <w:pStyle w:val="Heading3"/>
        <w:spacing w:line="360" w:lineRule="auto"/>
        <w:jc w:val="both"/>
        <w:rPr>
          <w:rFonts w:ascii="Times New Roman" w:hAnsi="Times New Roman" w:cs="Times New Roman"/>
          <w:b/>
          <w:color w:val="000000" w:themeColor="text1"/>
        </w:rPr>
      </w:pPr>
      <w:bookmarkStart w:id="277" w:name="_Toc156676376"/>
      <w:bookmarkStart w:id="278" w:name="_Toc156846070"/>
      <w:r w:rsidRPr="001816C6">
        <w:rPr>
          <w:rFonts w:ascii="Times New Roman" w:hAnsi="Times New Roman" w:cs="Times New Roman"/>
          <w:b/>
          <w:color w:val="000000" w:themeColor="text1"/>
        </w:rPr>
        <w:t>Cross-Continental Research</w:t>
      </w:r>
      <w:bookmarkEnd w:id="277"/>
      <w:bookmarkEnd w:id="278"/>
    </w:p>
    <w:p w:rsidR="00E21D19" w:rsidRPr="00B320BE" w:rsidRDefault="00E21D19"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Increase the geographical scope of the study panel by adding more continents or countries. This not only </w:t>
      </w:r>
      <w:r w:rsidR="006D3A0F" w:rsidRPr="00B320BE">
        <w:rPr>
          <w:rFonts w:ascii="Times New Roman" w:hAnsi="Times New Roman" w:cs="Times New Roman"/>
          <w:bCs/>
          <w:color w:val="000000" w:themeColor="text1"/>
          <w:sz w:val="24"/>
          <w:szCs w:val="24"/>
        </w:rPr>
        <w:t>increases</w:t>
      </w:r>
      <w:r w:rsidRPr="00B320BE">
        <w:rPr>
          <w:rFonts w:ascii="Times New Roman" w:hAnsi="Times New Roman" w:cs="Times New Roman"/>
          <w:bCs/>
          <w:color w:val="000000" w:themeColor="text1"/>
          <w:sz w:val="24"/>
          <w:szCs w:val="24"/>
        </w:rPr>
        <w:t xml:space="preserve"> the global portability of findings but also describes various regional dynamics, thus leading to a more finely nuanced analysis </w:t>
      </w:r>
      <w:r w:rsidR="006D3A0F" w:rsidRPr="00B320BE">
        <w:rPr>
          <w:rFonts w:ascii="Times New Roman" w:hAnsi="Times New Roman" w:cs="Times New Roman"/>
          <w:bCs/>
          <w:color w:val="000000" w:themeColor="text1"/>
          <w:sz w:val="24"/>
          <w:szCs w:val="24"/>
        </w:rPr>
        <w:t>of</w:t>
      </w:r>
      <w:r w:rsidRPr="00B320BE">
        <w:rPr>
          <w:rFonts w:ascii="Times New Roman" w:hAnsi="Times New Roman" w:cs="Times New Roman"/>
          <w:bCs/>
          <w:color w:val="000000" w:themeColor="text1"/>
          <w:sz w:val="24"/>
          <w:szCs w:val="24"/>
        </w:rPr>
        <w:t xml:space="preserve"> </w:t>
      </w:r>
      <w:r w:rsidR="006D3A0F" w:rsidRPr="00B320BE">
        <w:rPr>
          <w:rFonts w:ascii="Times New Roman" w:hAnsi="Times New Roman" w:cs="Times New Roman"/>
          <w:bCs/>
          <w:color w:val="000000" w:themeColor="text1"/>
          <w:sz w:val="24"/>
          <w:szCs w:val="24"/>
        </w:rPr>
        <w:t xml:space="preserve">the </w:t>
      </w:r>
      <w:r w:rsidRPr="00B320BE">
        <w:rPr>
          <w:rFonts w:ascii="Times New Roman" w:hAnsi="Times New Roman" w:cs="Times New Roman"/>
          <w:bCs/>
          <w:color w:val="000000" w:themeColor="text1"/>
          <w:sz w:val="24"/>
          <w:szCs w:val="24"/>
        </w:rPr>
        <w:t>sustainability-financial performance relationship.</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E21D19" w:rsidRPr="001816C6" w:rsidRDefault="002E032D" w:rsidP="00B320BE">
      <w:pPr>
        <w:pStyle w:val="Heading2"/>
        <w:spacing w:line="360" w:lineRule="auto"/>
        <w:jc w:val="both"/>
        <w:rPr>
          <w:rFonts w:ascii="Times New Roman" w:hAnsi="Times New Roman" w:cs="Times New Roman"/>
          <w:b/>
          <w:color w:val="000000" w:themeColor="text1"/>
          <w:sz w:val="24"/>
          <w:szCs w:val="24"/>
        </w:rPr>
      </w:pPr>
      <w:bookmarkStart w:id="279" w:name="_Toc156676377"/>
      <w:bookmarkStart w:id="280" w:name="_Toc156846071"/>
      <w:r w:rsidRPr="001816C6">
        <w:rPr>
          <w:rFonts w:ascii="Times New Roman" w:hAnsi="Times New Roman" w:cs="Times New Roman"/>
          <w:b/>
          <w:color w:val="000000" w:themeColor="text1"/>
          <w:sz w:val="24"/>
          <w:szCs w:val="24"/>
        </w:rPr>
        <w:t>Further Investigation Direction</w:t>
      </w:r>
      <w:bookmarkEnd w:id="279"/>
      <w:bookmarkEnd w:id="280"/>
    </w:p>
    <w:p w:rsidR="00E21D19" w:rsidRPr="00B320BE" w:rsidRDefault="00E21D19"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The direction of our research path does not represent the ultimate destination but instead a rest stop in an ongoing adventure. Our third set of recommendations can be considered to serve as the call for never-ending inquiry where specific directions are given on what else needs further investigation. This section encourages scholars to focus on subtle features, perfect the methodologies</w:t>
      </w:r>
      <w:r w:rsidR="006D3A0F" w:rsidRPr="00B320BE">
        <w:rPr>
          <w:rFonts w:ascii="Times New Roman" w:hAnsi="Times New Roman" w:cs="Times New Roman"/>
          <w:bCs/>
          <w:color w:val="000000" w:themeColor="text1"/>
          <w:sz w:val="24"/>
          <w:szCs w:val="24"/>
        </w:rPr>
        <w:t>,</w:t>
      </w:r>
      <w:r w:rsidRPr="00B320BE">
        <w:rPr>
          <w:rFonts w:ascii="Times New Roman" w:hAnsi="Times New Roman" w:cs="Times New Roman"/>
          <w:bCs/>
          <w:color w:val="000000" w:themeColor="text1"/>
          <w:sz w:val="24"/>
          <w:szCs w:val="24"/>
        </w:rPr>
        <w:t xml:space="preserve"> and broaden the field of study.</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006C5C" w:rsidRPr="001816C6" w:rsidRDefault="002E032D" w:rsidP="00B320BE">
      <w:pPr>
        <w:pStyle w:val="Heading3"/>
        <w:spacing w:line="360" w:lineRule="auto"/>
        <w:jc w:val="both"/>
        <w:rPr>
          <w:rFonts w:ascii="Times New Roman" w:hAnsi="Times New Roman" w:cs="Times New Roman"/>
          <w:b/>
          <w:color w:val="000000" w:themeColor="text1"/>
        </w:rPr>
      </w:pPr>
      <w:bookmarkStart w:id="281" w:name="_Toc156676378"/>
      <w:bookmarkStart w:id="282" w:name="_Toc156846072"/>
      <w:r w:rsidRPr="001816C6">
        <w:rPr>
          <w:rFonts w:ascii="Times New Roman" w:hAnsi="Times New Roman" w:cs="Times New Roman"/>
          <w:b/>
          <w:color w:val="000000" w:themeColor="text1"/>
        </w:rPr>
        <w:t>Longitudinal Studies</w:t>
      </w:r>
      <w:bookmarkEnd w:id="281"/>
      <w:bookmarkEnd w:id="282"/>
    </w:p>
    <w:p w:rsidR="00E21D19" w:rsidRPr="00B320BE" w:rsidRDefault="00E21D19"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Longitudinal studies are needed to investigate the development of sustainability practices and its effects on financial output. This entails monitoring modifications to ESG ratings, financial </w:t>
      </w:r>
      <w:r w:rsidRPr="00B320BE">
        <w:rPr>
          <w:rFonts w:ascii="Times New Roman" w:hAnsi="Times New Roman" w:cs="Times New Roman"/>
          <w:bCs/>
          <w:color w:val="000000" w:themeColor="text1"/>
          <w:sz w:val="24"/>
          <w:szCs w:val="24"/>
        </w:rPr>
        <w:lastRenderedPageBreak/>
        <w:t>parameters, and market trends that provide information about the sustainability path of finance houses.</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E21D19" w:rsidRPr="001816C6" w:rsidRDefault="00E21D19" w:rsidP="00B320BE">
      <w:pPr>
        <w:pStyle w:val="Heading3"/>
        <w:spacing w:line="360" w:lineRule="auto"/>
        <w:jc w:val="both"/>
        <w:rPr>
          <w:rFonts w:ascii="Times New Roman" w:hAnsi="Times New Roman" w:cs="Times New Roman"/>
          <w:b/>
          <w:color w:val="000000" w:themeColor="text1"/>
        </w:rPr>
      </w:pPr>
      <w:bookmarkStart w:id="283" w:name="_Toc156676379"/>
      <w:bookmarkStart w:id="284" w:name="_Toc156846073"/>
      <w:r w:rsidRPr="001816C6">
        <w:rPr>
          <w:rFonts w:ascii="Times New Roman" w:hAnsi="Times New Roman" w:cs="Times New Roman"/>
          <w:b/>
          <w:color w:val="000000" w:themeColor="text1"/>
        </w:rPr>
        <w:t>Behav</w:t>
      </w:r>
      <w:r w:rsidR="002E032D" w:rsidRPr="001816C6">
        <w:rPr>
          <w:rFonts w:ascii="Times New Roman" w:hAnsi="Times New Roman" w:cs="Times New Roman"/>
          <w:b/>
          <w:color w:val="000000" w:themeColor="text1"/>
        </w:rPr>
        <w:t>ioral Analysis of ESG Investors</w:t>
      </w:r>
      <w:bookmarkEnd w:id="283"/>
      <w:bookmarkEnd w:id="284"/>
    </w:p>
    <w:p w:rsidR="00E21D19" w:rsidRPr="00B320BE" w:rsidRDefault="00E21D19"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Conduct a full behavioral analysis of ESG investors, including the reasons for their investment decisions as well as the decision-making procedures and risk perceptions involved. This advanced understanding lends to a more complex interpretation of investor behavior in the field of sustainability.</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E21D19" w:rsidRPr="001816C6" w:rsidRDefault="00E21D19" w:rsidP="00B320BE">
      <w:pPr>
        <w:pStyle w:val="Heading3"/>
        <w:spacing w:line="360" w:lineRule="auto"/>
        <w:jc w:val="both"/>
        <w:rPr>
          <w:rFonts w:ascii="Times New Roman" w:hAnsi="Times New Roman" w:cs="Times New Roman"/>
          <w:b/>
          <w:color w:val="000000" w:themeColor="text1"/>
        </w:rPr>
      </w:pPr>
      <w:bookmarkStart w:id="285" w:name="_Toc156676380"/>
      <w:bookmarkStart w:id="286" w:name="_Toc156846074"/>
      <w:r w:rsidRPr="001816C6">
        <w:rPr>
          <w:rFonts w:ascii="Times New Roman" w:hAnsi="Times New Roman" w:cs="Times New Roman"/>
          <w:b/>
          <w:color w:val="000000" w:themeColor="text1"/>
        </w:rPr>
        <w:t>Dynam</w:t>
      </w:r>
      <w:r w:rsidR="002E032D" w:rsidRPr="001816C6">
        <w:rPr>
          <w:rFonts w:ascii="Times New Roman" w:hAnsi="Times New Roman" w:cs="Times New Roman"/>
          <w:b/>
          <w:color w:val="000000" w:themeColor="text1"/>
        </w:rPr>
        <w:t>ic Regulatory Impact Assessment</w:t>
      </w:r>
      <w:bookmarkEnd w:id="285"/>
      <w:bookmarkEnd w:id="286"/>
    </w:p>
    <w:p w:rsidR="00E21D19" w:rsidRPr="00B320BE" w:rsidRDefault="00E21D19" w:rsidP="00B320BE">
      <w:pPr>
        <w:spacing w:line="360" w:lineRule="auto"/>
        <w:jc w:val="both"/>
        <w:rPr>
          <w:rFonts w:ascii="Times New Roman" w:hAnsi="Times New Roman" w:cs="Times New Roman"/>
          <w:bCs/>
          <w:color w:val="000000" w:themeColor="text1"/>
          <w:sz w:val="24"/>
          <w:szCs w:val="24"/>
        </w:rPr>
      </w:pPr>
      <w:r w:rsidRPr="00B320BE">
        <w:rPr>
          <w:rFonts w:ascii="Times New Roman" w:hAnsi="Times New Roman" w:cs="Times New Roman"/>
          <w:bCs/>
          <w:color w:val="000000" w:themeColor="text1"/>
          <w:sz w:val="24"/>
          <w:szCs w:val="24"/>
        </w:rPr>
        <w:t xml:space="preserve">Constantly evaluate the changing impact of developed regulatory regimes on corporate actions. </w:t>
      </w:r>
      <w:r w:rsidR="00072E02" w:rsidRPr="00072E02">
        <w:rPr>
          <w:rFonts w:ascii="Times New Roman" w:hAnsi="Times New Roman" w:cs="Times New Roman"/>
          <w:bCs/>
          <w:color w:val="000000" w:themeColor="text1"/>
          <w:sz w:val="24"/>
          <w:szCs w:val="24"/>
        </w:rPr>
        <w:t>Understand how regulatory changes affect reporting processes, internal policy modifications and stakeholder interrelations as a glimpse into real life.</w:t>
      </w:r>
    </w:p>
    <w:p w:rsidR="002E032D" w:rsidRPr="00B320BE" w:rsidRDefault="002E032D" w:rsidP="00B320BE">
      <w:pPr>
        <w:spacing w:line="360" w:lineRule="auto"/>
        <w:jc w:val="both"/>
        <w:rPr>
          <w:rFonts w:ascii="Times New Roman" w:hAnsi="Times New Roman" w:cs="Times New Roman"/>
          <w:bCs/>
          <w:color w:val="000000" w:themeColor="text1"/>
          <w:sz w:val="24"/>
          <w:szCs w:val="24"/>
        </w:rPr>
      </w:pPr>
    </w:p>
    <w:p w:rsidR="00006C5C" w:rsidRPr="001816C6" w:rsidRDefault="00006C5C" w:rsidP="00B320BE">
      <w:pPr>
        <w:pStyle w:val="Heading2"/>
        <w:spacing w:line="360" w:lineRule="auto"/>
        <w:jc w:val="both"/>
        <w:rPr>
          <w:rFonts w:ascii="Times New Roman" w:hAnsi="Times New Roman" w:cs="Times New Roman"/>
          <w:b/>
          <w:color w:val="000000" w:themeColor="text1"/>
          <w:sz w:val="24"/>
          <w:szCs w:val="24"/>
        </w:rPr>
      </w:pPr>
      <w:bookmarkStart w:id="287" w:name="_Toc156676381"/>
      <w:bookmarkStart w:id="288" w:name="_Toc156846075"/>
      <w:r w:rsidRPr="001816C6">
        <w:rPr>
          <w:rFonts w:ascii="Times New Roman" w:hAnsi="Times New Roman" w:cs="Times New Roman"/>
          <w:b/>
          <w:color w:val="000000" w:themeColor="text1"/>
          <w:sz w:val="24"/>
          <w:szCs w:val="24"/>
        </w:rPr>
        <w:t>Implementation of Recommendations: Operationalizing Sustainability Excellence</w:t>
      </w:r>
      <w:bookmarkEnd w:id="287"/>
      <w:bookmarkEnd w:id="288"/>
    </w:p>
    <w:p w:rsidR="00072E02" w:rsidRPr="00072E02" w:rsidRDefault="00072E02" w:rsidP="00072E02">
      <w:pPr>
        <w:spacing w:line="360" w:lineRule="auto"/>
        <w:jc w:val="both"/>
        <w:rPr>
          <w:rFonts w:ascii="Times New Roman" w:hAnsi="Times New Roman" w:cs="Times New Roman"/>
          <w:bCs/>
          <w:color w:val="000000" w:themeColor="text1"/>
          <w:sz w:val="24"/>
          <w:szCs w:val="24"/>
        </w:rPr>
      </w:pPr>
      <w:r w:rsidRPr="00072E02">
        <w:rPr>
          <w:rFonts w:ascii="Times New Roman" w:hAnsi="Times New Roman" w:cs="Times New Roman"/>
          <w:bCs/>
          <w:color w:val="000000" w:themeColor="text1"/>
          <w:sz w:val="24"/>
          <w:szCs w:val="24"/>
        </w:rPr>
        <w:t>Along with recommendations, we emphasize the importance of an effective implementation program. Integrating the recommendations into strategic development processes will enable financial institutions to embed sustainability performances. This involves establishing task forces, providing funds and creating structures for monitoring implementation to ensure that the prescribed remedies bring about results.</w:t>
      </w:r>
    </w:p>
    <w:p w:rsidR="00072E02" w:rsidRPr="00072E02" w:rsidRDefault="00072E02" w:rsidP="00072E02">
      <w:pPr>
        <w:spacing w:line="360" w:lineRule="auto"/>
        <w:jc w:val="both"/>
        <w:rPr>
          <w:rFonts w:ascii="Times New Roman" w:hAnsi="Times New Roman" w:cs="Times New Roman"/>
          <w:bCs/>
          <w:color w:val="000000" w:themeColor="text1"/>
          <w:sz w:val="24"/>
          <w:szCs w:val="24"/>
        </w:rPr>
      </w:pPr>
    </w:p>
    <w:p w:rsidR="00980BB7" w:rsidRPr="00B320BE" w:rsidRDefault="00072E02" w:rsidP="00072E02">
      <w:pPr>
        <w:spacing w:line="360" w:lineRule="auto"/>
        <w:jc w:val="both"/>
        <w:rPr>
          <w:rFonts w:ascii="Times New Roman" w:hAnsi="Times New Roman" w:cs="Times New Roman"/>
          <w:b/>
          <w:bCs/>
          <w:color w:val="000000" w:themeColor="text1"/>
          <w:sz w:val="24"/>
          <w:szCs w:val="24"/>
        </w:rPr>
      </w:pPr>
      <w:r w:rsidRPr="00072E02">
        <w:rPr>
          <w:rFonts w:ascii="Times New Roman" w:hAnsi="Times New Roman" w:cs="Times New Roman"/>
          <w:bCs/>
          <w:color w:val="000000" w:themeColor="text1"/>
          <w:sz w:val="24"/>
          <w:szCs w:val="24"/>
        </w:rPr>
        <w:t>Our holistic offer of advice ought to serve as a lighthouse for financial institutions navigating the complicated intersection between sustainability and compliance requisites while pursuing fiscal prosperity. By carrying out a proactive plan for corrective measures, introduction of new research venues and continued search in identifying trends the financial institutions can be not only compliant but leaders at sustainable crediting. These recommendations reflect the drive towards a beneficial change within financial contexts, implying that it is an ever-changing system of sustainability.</w:t>
      </w:r>
    </w:p>
    <w:p w:rsidR="00980BB7" w:rsidRPr="00B320BE" w:rsidRDefault="00980BB7" w:rsidP="00B320BE">
      <w:pPr>
        <w:spacing w:line="360" w:lineRule="auto"/>
        <w:jc w:val="both"/>
        <w:rPr>
          <w:rFonts w:ascii="Times New Roman" w:hAnsi="Times New Roman" w:cs="Times New Roman"/>
          <w:b/>
          <w:bCs/>
          <w:color w:val="000000" w:themeColor="text1"/>
          <w:sz w:val="24"/>
          <w:szCs w:val="24"/>
        </w:rPr>
      </w:pPr>
    </w:p>
    <w:p w:rsidR="00980BB7" w:rsidRPr="00B320BE" w:rsidRDefault="00980BB7" w:rsidP="00B320BE">
      <w:pPr>
        <w:spacing w:line="360" w:lineRule="auto"/>
        <w:jc w:val="both"/>
        <w:rPr>
          <w:rFonts w:ascii="Times New Roman" w:hAnsi="Times New Roman" w:cs="Times New Roman"/>
          <w:b/>
          <w:bCs/>
          <w:color w:val="000000" w:themeColor="text1"/>
          <w:sz w:val="24"/>
          <w:szCs w:val="24"/>
        </w:rPr>
      </w:pPr>
    </w:p>
    <w:p w:rsidR="00980BB7" w:rsidRPr="00B320BE" w:rsidRDefault="00980BB7" w:rsidP="00B320BE">
      <w:pPr>
        <w:spacing w:line="360" w:lineRule="auto"/>
        <w:jc w:val="both"/>
        <w:rPr>
          <w:rFonts w:ascii="Times New Roman" w:hAnsi="Times New Roman" w:cs="Times New Roman"/>
          <w:b/>
          <w:bCs/>
          <w:color w:val="000000" w:themeColor="text1"/>
          <w:sz w:val="24"/>
          <w:szCs w:val="24"/>
        </w:rPr>
      </w:pPr>
    </w:p>
    <w:p w:rsidR="00E21D19" w:rsidRPr="00B320BE" w:rsidRDefault="00E21D19" w:rsidP="00B320BE">
      <w:pPr>
        <w:spacing w:line="360" w:lineRule="auto"/>
        <w:jc w:val="both"/>
        <w:rPr>
          <w:rFonts w:ascii="Times New Roman" w:hAnsi="Times New Roman" w:cs="Times New Roman"/>
          <w:b/>
          <w:bCs/>
          <w:color w:val="000000" w:themeColor="text1"/>
          <w:sz w:val="24"/>
          <w:szCs w:val="24"/>
        </w:rPr>
      </w:pPr>
    </w:p>
    <w:p w:rsidR="00FE2A81" w:rsidRDefault="00FE2A81" w:rsidP="00B57ED9">
      <w:pPr>
        <w:tabs>
          <w:tab w:val="left" w:pos="8154"/>
        </w:tabs>
        <w:spacing w:line="360" w:lineRule="auto"/>
        <w:jc w:val="both"/>
        <w:rPr>
          <w:rFonts w:ascii="Times New Roman" w:hAnsi="Times New Roman" w:cs="Times New Roman"/>
          <w:b/>
          <w:bCs/>
          <w:color w:val="000000" w:themeColor="text1"/>
          <w:sz w:val="24"/>
          <w:szCs w:val="24"/>
        </w:rPr>
      </w:pPr>
    </w:p>
    <w:p w:rsidR="00FE2A81" w:rsidRDefault="00FE2A81" w:rsidP="00B57ED9">
      <w:pPr>
        <w:tabs>
          <w:tab w:val="left" w:pos="8154"/>
        </w:tabs>
        <w:spacing w:line="360" w:lineRule="auto"/>
        <w:jc w:val="both"/>
        <w:rPr>
          <w:rFonts w:ascii="Times New Roman" w:hAnsi="Times New Roman" w:cs="Times New Roman"/>
          <w:b/>
          <w:bCs/>
          <w:color w:val="000000" w:themeColor="text1"/>
          <w:sz w:val="24"/>
          <w:szCs w:val="24"/>
        </w:rPr>
      </w:pPr>
    </w:p>
    <w:p w:rsidR="00FE2A81" w:rsidRDefault="00FE2A81" w:rsidP="00B57ED9">
      <w:pPr>
        <w:tabs>
          <w:tab w:val="left" w:pos="8154"/>
        </w:tabs>
        <w:spacing w:line="360" w:lineRule="auto"/>
        <w:jc w:val="both"/>
        <w:rPr>
          <w:rFonts w:ascii="Times New Roman" w:hAnsi="Times New Roman" w:cs="Times New Roman"/>
          <w:b/>
          <w:bCs/>
          <w:color w:val="000000" w:themeColor="text1"/>
          <w:sz w:val="24"/>
          <w:szCs w:val="24"/>
        </w:rPr>
      </w:pPr>
    </w:p>
    <w:p w:rsidR="00FE2A81" w:rsidRDefault="00FE2A81" w:rsidP="00B57ED9">
      <w:pPr>
        <w:tabs>
          <w:tab w:val="left" w:pos="8154"/>
        </w:tabs>
        <w:spacing w:line="360" w:lineRule="auto"/>
        <w:jc w:val="both"/>
        <w:rPr>
          <w:rFonts w:ascii="Times New Roman" w:hAnsi="Times New Roman" w:cs="Times New Roman"/>
          <w:b/>
          <w:bCs/>
          <w:color w:val="000000" w:themeColor="text1"/>
          <w:sz w:val="24"/>
          <w:szCs w:val="24"/>
        </w:rPr>
      </w:pPr>
    </w:p>
    <w:p w:rsidR="00FE2A81" w:rsidRDefault="00FE2A81" w:rsidP="00B57ED9">
      <w:pPr>
        <w:tabs>
          <w:tab w:val="left" w:pos="8154"/>
        </w:tabs>
        <w:spacing w:line="360" w:lineRule="auto"/>
        <w:jc w:val="both"/>
        <w:rPr>
          <w:rFonts w:ascii="Times New Roman" w:hAnsi="Times New Roman" w:cs="Times New Roman"/>
          <w:b/>
          <w:bCs/>
          <w:color w:val="000000" w:themeColor="text1"/>
          <w:sz w:val="24"/>
          <w:szCs w:val="24"/>
        </w:rPr>
      </w:pPr>
    </w:p>
    <w:p w:rsidR="00FE2A81" w:rsidRDefault="00FE2A81" w:rsidP="00B57ED9">
      <w:pPr>
        <w:tabs>
          <w:tab w:val="left" w:pos="8154"/>
        </w:tabs>
        <w:spacing w:line="360" w:lineRule="auto"/>
        <w:jc w:val="both"/>
        <w:rPr>
          <w:rFonts w:ascii="Times New Roman" w:hAnsi="Times New Roman" w:cs="Times New Roman"/>
          <w:b/>
          <w:bCs/>
          <w:color w:val="000000" w:themeColor="text1"/>
          <w:sz w:val="24"/>
          <w:szCs w:val="24"/>
        </w:rPr>
      </w:pPr>
    </w:p>
    <w:p w:rsidR="00FE2A81" w:rsidRDefault="00FE2A81" w:rsidP="00B57ED9">
      <w:pPr>
        <w:tabs>
          <w:tab w:val="left" w:pos="8154"/>
        </w:tabs>
        <w:spacing w:line="360" w:lineRule="auto"/>
        <w:jc w:val="both"/>
        <w:rPr>
          <w:rFonts w:ascii="Times New Roman" w:hAnsi="Times New Roman" w:cs="Times New Roman"/>
          <w:b/>
          <w:bCs/>
          <w:color w:val="000000" w:themeColor="text1"/>
          <w:sz w:val="24"/>
          <w:szCs w:val="24"/>
        </w:rPr>
      </w:pPr>
    </w:p>
    <w:p w:rsidR="00FE2A81" w:rsidRDefault="00FE2A81" w:rsidP="00B57ED9">
      <w:pPr>
        <w:tabs>
          <w:tab w:val="left" w:pos="8154"/>
        </w:tabs>
        <w:spacing w:line="360" w:lineRule="auto"/>
        <w:jc w:val="both"/>
        <w:rPr>
          <w:rFonts w:ascii="Times New Roman" w:hAnsi="Times New Roman" w:cs="Times New Roman"/>
          <w:b/>
          <w:bCs/>
          <w:color w:val="000000" w:themeColor="text1"/>
          <w:sz w:val="24"/>
          <w:szCs w:val="24"/>
        </w:rPr>
      </w:pPr>
    </w:p>
    <w:p w:rsidR="00FE2A81" w:rsidRDefault="00FE2A81" w:rsidP="00B57ED9">
      <w:pPr>
        <w:tabs>
          <w:tab w:val="left" w:pos="8154"/>
        </w:tabs>
        <w:spacing w:line="360" w:lineRule="auto"/>
        <w:jc w:val="both"/>
        <w:rPr>
          <w:rFonts w:ascii="Times New Roman" w:hAnsi="Times New Roman" w:cs="Times New Roman"/>
          <w:b/>
          <w:bCs/>
          <w:color w:val="000000" w:themeColor="text1"/>
          <w:sz w:val="24"/>
          <w:szCs w:val="24"/>
        </w:rPr>
      </w:pPr>
    </w:p>
    <w:p w:rsidR="00543033" w:rsidRPr="00B320BE" w:rsidRDefault="00B57ED9" w:rsidP="00B57ED9">
      <w:pPr>
        <w:tabs>
          <w:tab w:val="left" w:pos="8154"/>
        </w:tabs>
        <w:spacing w:line="360" w:lineRule="auto"/>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ab/>
      </w:r>
    </w:p>
    <w:p w:rsidR="00B27178" w:rsidRPr="001816C6" w:rsidRDefault="00B27178" w:rsidP="00D13639">
      <w:pPr>
        <w:pStyle w:val="Heading1"/>
        <w:spacing w:line="360" w:lineRule="auto"/>
        <w:jc w:val="both"/>
        <w:rPr>
          <w:rFonts w:ascii="Times New Roman" w:hAnsi="Times New Roman" w:cs="Times New Roman"/>
          <w:b/>
          <w:color w:val="000000" w:themeColor="text1"/>
          <w:sz w:val="24"/>
          <w:szCs w:val="24"/>
        </w:rPr>
      </w:pPr>
      <w:bookmarkStart w:id="289" w:name="_Toc156676382"/>
      <w:bookmarkStart w:id="290" w:name="_Toc156846076"/>
      <w:r w:rsidRPr="001816C6">
        <w:rPr>
          <w:rFonts w:ascii="Times New Roman" w:hAnsi="Times New Roman" w:cs="Times New Roman"/>
          <w:b/>
          <w:color w:val="000000" w:themeColor="text1"/>
          <w:sz w:val="24"/>
          <w:szCs w:val="24"/>
        </w:rPr>
        <w:t>References</w:t>
      </w:r>
      <w:bookmarkEnd w:id="289"/>
      <w:bookmarkEnd w:id="290"/>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A Chatterjee (2019). </w:t>
      </w:r>
      <w:r w:rsidRPr="00B57ED9">
        <w:rPr>
          <w:rFonts w:ascii="Times New Roman" w:hAnsi="Times New Roman" w:cs="Times New Roman"/>
          <w:bCs/>
          <w:i/>
          <w:iCs/>
          <w:sz w:val="24"/>
          <w:szCs w:val="24"/>
        </w:rPr>
        <w:t>Santander: a global bank with Spanish origin</w:t>
      </w:r>
      <w:r w:rsidRPr="00B57ED9">
        <w:rPr>
          <w:rFonts w:ascii="Times New Roman" w:hAnsi="Times New Roman" w:cs="Times New Roman"/>
          <w:bCs/>
          <w:sz w:val="24"/>
          <w:szCs w:val="24"/>
        </w:rPr>
        <w:t>. [online] Available at: https://run.unl.pt/bitstream/10362/73484/1/Chatterjee_EtAll_2019.pdf.</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Aberdeen, T. (2009a). Yin, R. K. (2009). Case study research: Design and methods (4th Ed.). Thousand Oaks, CA: Sage. </w:t>
      </w:r>
      <w:r w:rsidRPr="00B57ED9">
        <w:rPr>
          <w:rFonts w:ascii="Times New Roman" w:hAnsi="Times New Roman" w:cs="Times New Roman"/>
          <w:bCs/>
          <w:i/>
          <w:iCs/>
          <w:sz w:val="24"/>
          <w:szCs w:val="24"/>
        </w:rPr>
        <w:t>The Canadian Journal of Action Research</w:t>
      </w:r>
      <w:r w:rsidRPr="00B57ED9">
        <w:rPr>
          <w:rFonts w:ascii="Times New Roman" w:hAnsi="Times New Roman" w:cs="Times New Roman"/>
          <w:bCs/>
          <w:sz w:val="24"/>
          <w:szCs w:val="24"/>
        </w:rPr>
        <w:t>, [online] 14(1), pp.69–71. doi:https://doi.org/10.33524/cjar.v14i1.73.</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Aberdeen, T. (2009b). Yin, R. K. (2009). Case study research: Design and methods (4th Ed.). Thousand Oaks, CA: Sage. </w:t>
      </w:r>
      <w:r w:rsidRPr="00B57ED9">
        <w:rPr>
          <w:rFonts w:ascii="Times New Roman" w:hAnsi="Times New Roman" w:cs="Times New Roman"/>
          <w:bCs/>
          <w:i/>
          <w:iCs/>
          <w:sz w:val="24"/>
          <w:szCs w:val="24"/>
        </w:rPr>
        <w:t>The Canadian Journal of Action Research</w:t>
      </w:r>
      <w:r w:rsidRPr="00B57ED9">
        <w:rPr>
          <w:rFonts w:ascii="Times New Roman" w:hAnsi="Times New Roman" w:cs="Times New Roman"/>
          <w:bCs/>
          <w:sz w:val="24"/>
          <w:szCs w:val="24"/>
        </w:rPr>
        <w:t>, [online] 14(1), pp.69–71. doi:https://doi.org/10.33524/cjar.v14i1.73.</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lastRenderedPageBreak/>
        <w:t xml:space="preserve">Aldowaish, A., Kokuryo, J., Almazyad, O. and Goi, H.C. (2022). Environmental, Social, and Governance Integration into the Business Model: Literature Review and Research Agenda. </w:t>
      </w:r>
      <w:r w:rsidRPr="00B57ED9">
        <w:rPr>
          <w:rFonts w:ascii="Times New Roman" w:hAnsi="Times New Roman" w:cs="Times New Roman"/>
          <w:bCs/>
          <w:i/>
          <w:iCs/>
          <w:sz w:val="24"/>
          <w:szCs w:val="24"/>
        </w:rPr>
        <w:t>Sustainability</w:t>
      </w:r>
      <w:r w:rsidRPr="00B57ED9">
        <w:rPr>
          <w:rFonts w:ascii="Times New Roman" w:hAnsi="Times New Roman" w:cs="Times New Roman"/>
          <w:bCs/>
          <w:sz w:val="24"/>
          <w:szCs w:val="24"/>
        </w:rPr>
        <w:t>, [online] 14(5), p.2959. doi:https://doi.org/10.3390/su14052959.</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Almeyda, R. and Darmansya, A. (2019). The Influence of Environmental, Social, and Governance (ESG) Disclosure on Firm Financial Performance. </w:t>
      </w:r>
      <w:r w:rsidRPr="00B57ED9">
        <w:rPr>
          <w:rFonts w:ascii="Times New Roman" w:hAnsi="Times New Roman" w:cs="Times New Roman"/>
          <w:bCs/>
          <w:i/>
          <w:iCs/>
          <w:sz w:val="24"/>
          <w:szCs w:val="24"/>
        </w:rPr>
        <w:t>IPTEK Journal of Proceedings Series</w:t>
      </w:r>
      <w:r w:rsidRPr="00B57ED9">
        <w:rPr>
          <w:rFonts w:ascii="Times New Roman" w:hAnsi="Times New Roman" w:cs="Times New Roman"/>
          <w:bCs/>
          <w:sz w:val="24"/>
          <w:szCs w:val="24"/>
        </w:rPr>
        <w:t>, 0(5), p.278.</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Amel-Zadeh, A. and Serafeim, G. (2018). Why and How Investors Use ESG Information: Evidence from a Global Survey. </w:t>
      </w:r>
      <w:r w:rsidRPr="00B57ED9">
        <w:rPr>
          <w:rFonts w:ascii="Times New Roman" w:hAnsi="Times New Roman" w:cs="Times New Roman"/>
          <w:bCs/>
          <w:i/>
          <w:iCs/>
          <w:sz w:val="24"/>
          <w:szCs w:val="24"/>
        </w:rPr>
        <w:t>Financial Analysts Journal</w:t>
      </w:r>
      <w:r w:rsidRPr="00B57ED9">
        <w:rPr>
          <w:rFonts w:ascii="Times New Roman" w:hAnsi="Times New Roman" w:cs="Times New Roman"/>
          <w:bCs/>
          <w:sz w:val="24"/>
          <w:szCs w:val="24"/>
        </w:rPr>
        <w:t>, 74(3), pp.87–103. doi:https://doi.org/10.2469/faj.v74.n3.2.</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Avetisyan, E. and Hockerts, K. (2016). The Consolidation of the ESG Rating Industry as an Enactment of Institutional Retrogression. </w:t>
      </w:r>
      <w:r w:rsidRPr="00B57ED9">
        <w:rPr>
          <w:rFonts w:ascii="Times New Roman" w:hAnsi="Times New Roman" w:cs="Times New Roman"/>
          <w:bCs/>
          <w:i/>
          <w:iCs/>
          <w:sz w:val="24"/>
          <w:szCs w:val="24"/>
        </w:rPr>
        <w:t>Business Strategy and the Environment</w:t>
      </w:r>
      <w:r w:rsidRPr="00B57ED9">
        <w:rPr>
          <w:rFonts w:ascii="Times New Roman" w:hAnsi="Times New Roman" w:cs="Times New Roman"/>
          <w:bCs/>
          <w:sz w:val="24"/>
          <w:szCs w:val="24"/>
        </w:rPr>
        <w:t>, 26(3), pp.316–330. doi:https://doi.org/10.1002/bse.1919.</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Bank, N. (2023). </w:t>
      </w:r>
      <w:r w:rsidRPr="00B57ED9">
        <w:rPr>
          <w:rFonts w:ascii="Times New Roman" w:hAnsi="Times New Roman" w:cs="Times New Roman"/>
          <w:bCs/>
          <w:i/>
          <w:iCs/>
          <w:sz w:val="24"/>
          <w:szCs w:val="24"/>
        </w:rPr>
        <w:t>Third-quarter results 2023</w:t>
      </w:r>
      <w:r w:rsidRPr="00B57ED9">
        <w:rPr>
          <w:rFonts w:ascii="Times New Roman" w:hAnsi="Times New Roman" w:cs="Times New Roman"/>
          <w:bCs/>
          <w:sz w:val="24"/>
          <w:szCs w:val="24"/>
        </w:rPr>
        <w:t>. [online] Nordea. Available at: https://www.nordea.com/en/press/2023-10-19/third-quarter-results-2023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Bătae, O.M., Dragomir, V.D. and Feleagă, L. (2021). The relationship between environmental, social, and financial performance in the banking sector: A European study. </w:t>
      </w:r>
      <w:r w:rsidRPr="00B57ED9">
        <w:rPr>
          <w:rFonts w:ascii="Times New Roman" w:hAnsi="Times New Roman" w:cs="Times New Roman"/>
          <w:bCs/>
          <w:i/>
          <w:iCs/>
          <w:sz w:val="24"/>
          <w:szCs w:val="24"/>
        </w:rPr>
        <w:t>Journal of Cleaner Production</w:t>
      </w:r>
      <w:r w:rsidRPr="00B57ED9">
        <w:rPr>
          <w:rFonts w:ascii="Times New Roman" w:hAnsi="Times New Roman" w:cs="Times New Roman"/>
          <w:bCs/>
          <w:sz w:val="24"/>
          <w:szCs w:val="24"/>
        </w:rPr>
        <w:t>, 290, p.125791. doi:https://doi.org/10.1016/j.jclepro.2021.125791.</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BNP Paribas (2023a). ESG: the essential reports from BNP Paribas - BNP Paribas. </w:t>
      </w:r>
      <w:r w:rsidRPr="00B57ED9">
        <w:rPr>
          <w:rFonts w:ascii="Times New Roman" w:hAnsi="Times New Roman" w:cs="Times New Roman"/>
          <w:bCs/>
          <w:i/>
          <w:iCs/>
          <w:sz w:val="24"/>
          <w:szCs w:val="24"/>
        </w:rPr>
        <w:t>BNP Paribas</w:t>
      </w:r>
      <w:r w:rsidRPr="00B57ED9">
        <w:rPr>
          <w:rFonts w:ascii="Times New Roman" w:hAnsi="Times New Roman" w:cs="Times New Roman"/>
          <w:bCs/>
          <w:sz w:val="24"/>
          <w:szCs w:val="24"/>
        </w:rPr>
        <w:t>. [online] Available at: https://group.bnpparibas/en/news/esg-the-essential-reports-from-bnp-paribas.</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Breijer, R. and Orij, R.P. (2022). The Comparability of Non-Financial Information: an Exploration of the Impact of the Non-Financial Reporting Directive (NFRD, 2014/95/EU). </w:t>
      </w:r>
      <w:r w:rsidRPr="00B57ED9">
        <w:rPr>
          <w:rFonts w:ascii="Times New Roman" w:hAnsi="Times New Roman" w:cs="Times New Roman"/>
          <w:bCs/>
          <w:i/>
          <w:iCs/>
          <w:sz w:val="24"/>
          <w:szCs w:val="24"/>
        </w:rPr>
        <w:t>Accounting in Europe</w:t>
      </w:r>
      <w:r w:rsidRPr="00B57ED9">
        <w:rPr>
          <w:rFonts w:ascii="Times New Roman" w:hAnsi="Times New Roman" w:cs="Times New Roman"/>
          <w:bCs/>
          <w:sz w:val="24"/>
          <w:szCs w:val="24"/>
        </w:rPr>
        <w:t>, 19(2), pp.1–29. doi:https://doi.org/10.1080/17449480.2022.2065645.</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Burkinshaw, A. (2022). </w:t>
      </w:r>
      <w:r w:rsidRPr="00B57ED9">
        <w:rPr>
          <w:rFonts w:ascii="Times New Roman" w:hAnsi="Times New Roman" w:cs="Times New Roman"/>
          <w:bCs/>
          <w:i/>
          <w:iCs/>
          <w:sz w:val="24"/>
          <w:szCs w:val="24"/>
        </w:rPr>
        <w:t>Dow Jones Sustainability World Index released for 2022</w:t>
      </w:r>
      <w:r w:rsidRPr="00B57ED9">
        <w:rPr>
          <w:rFonts w:ascii="Times New Roman" w:hAnsi="Times New Roman" w:cs="Times New Roman"/>
          <w:bCs/>
          <w:sz w:val="24"/>
          <w:szCs w:val="24"/>
        </w:rPr>
        <w:t>. [online] Sustainable Future News. Available at: https://sustainablefuturenews.com/esg/dow-jones-sustainability-world-index-revealed-for-2022/.</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lastRenderedPageBreak/>
        <w:t xml:space="preserve">Carè, R. (2018). Being a Sustainable Bank: The Case of Intesa Sanpaolo. </w:t>
      </w:r>
      <w:r w:rsidRPr="00B57ED9">
        <w:rPr>
          <w:rFonts w:ascii="Times New Roman" w:hAnsi="Times New Roman" w:cs="Times New Roman"/>
          <w:bCs/>
          <w:i/>
          <w:iCs/>
          <w:sz w:val="24"/>
          <w:szCs w:val="24"/>
        </w:rPr>
        <w:t>Springer eBooks</w:t>
      </w:r>
      <w:r w:rsidRPr="00B57ED9">
        <w:rPr>
          <w:rFonts w:ascii="Times New Roman" w:hAnsi="Times New Roman" w:cs="Times New Roman"/>
          <w:bCs/>
          <w:sz w:val="24"/>
          <w:szCs w:val="24"/>
        </w:rPr>
        <w:t>, pp.131–147. doi:https://doi.org/10.1007/978-3-319-73389-0_6.</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Carney, M., Van Essen, M., Gedajlovic, E.R. and Heugens, P.P.M.A.R. (2015). What Do We Know About Private Family Firms? A Meta-Analytical Review. </w:t>
      </w:r>
      <w:r w:rsidRPr="00B57ED9">
        <w:rPr>
          <w:rFonts w:ascii="Times New Roman" w:hAnsi="Times New Roman" w:cs="Times New Roman"/>
          <w:bCs/>
          <w:i/>
          <w:iCs/>
          <w:sz w:val="24"/>
          <w:szCs w:val="24"/>
        </w:rPr>
        <w:t>Entrepreneurship Theory and Practice</w:t>
      </w:r>
      <w:r w:rsidRPr="00B57ED9">
        <w:rPr>
          <w:rFonts w:ascii="Times New Roman" w:hAnsi="Times New Roman" w:cs="Times New Roman"/>
          <w:bCs/>
          <w:sz w:val="24"/>
          <w:szCs w:val="24"/>
        </w:rPr>
        <w:t>, 39(3), pp.513–544. doi:https://doi.org/10.1111/etap.12054.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ChemSec (2023). </w:t>
      </w:r>
      <w:r w:rsidRPr="00B57ED9">
        <w:rPr>
          <w:rFonts w:ascii="Times New Roman" w:hAnsi="Times New Roman" w:cs="Times New Roman"/>
          <w:bCs/>
          <w:i/>
          <w:iCs/>
          <w:sz w:val="24"/>
          <w:szCs w:val="24"/>
        </w:rPr>
        <w:t>Investor Initiative on Hazardous Chemicals (IIHC)</w:t>
      </w:r>
      <w:r w:rsidRPr="00B57ED9">
        <w:rPr>
          <w:rFonts w:ascii="Times New Roman" w:hAnsi="Times New Roman" w:cs="Times New Roman"/>
          <w:bCs/>
          <w:sz w:val="24"/>
          <w:szCs w:val="24"/>
        </w:rPr>
        <w:t>. [online] Available at: https://chemsec.org/knowledge/iihc/ [Accessed 20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Collis, J. and Hussey, R. (2014). Writing up the Research. </w:t>
      </w:r>
      <w:r w:rsidRPr="00B57ED9">
        <w:rPr>
          <w:rFonts w:ascii="Times New Roman" w:hAnsi="Times New Roman" w:cs="Times New Roman"/>
          <w:bCs/>
          <w:i/>
          <w:iCs/>
          <w:sz w:val="24"/>
          <w:szCs w:val="24"/>
        </w:rPr>
        <w:t>Business Research</w:t>
      </w:r>
      <w:r w:rsidRPr="00B57ED9">
        <w:rPr>
          <w:rFonts w:ascii="Times New Roman" w:hAnsi="Times New Roman" w:cs="Times New Roman"/>
          <w:bCs/>
          <w:sz w:val="24"/>
          <w:szCs w:val="24"/>
        </w:rPr>
        <w:t>, pp.297–330. doi:https://doi.org/10.1007/978-1-137-03748-0_13.</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Cornett, M.M., McNutt, J.J., Strahan, P.E. and Tehranian, H. (2011). Liquidity risk management and credit supply in the financial crisis. </w:t>
      </w:r>
      <w:r w:rsidRPr="00B57ED9">
        <w:rPr>
          <w:rFonts w:ascii="Times New Roman" w:hAnsi="Times New Roman" w:cs="Times New Roman"/>
          <w:bCs/>
          <w:i/>
          <w:iCs/>
          <w:sz w:val="24"/>
          <w:szCs w:val="24"/>
        </w:rPr>
        <w:t>Journal of Financial Economics</w:t>
      </w:r>
      <w:r w:rsidRPr="00B57ED9">
        <w:rPr>
          <w:rFonts w:ascii="Times New Roman" w:hAnsi="Times New Roman" w:cs="Times New Roman"/>
          <w:bCs/>
          <w:sz w:val="24"/>
          <w:szCs w:val="24"/>
        </w:rPr>
        <w:t>, 101(2), pp.297–312. doi:https://doi.org/10.1016/j.jfineco.2011.03.001.</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Cuomo, F., Gaia, S., Girardone, C. and Piserà, S. (2022). The effects of the EU non-financial reporting directive on corporate social responsibility. </w:t>
      </w:r>
      <w:r w:rsidRPr="00B57ED9">
        <w:rPr>
          <w:rFonts w:ascii="Times New Roman" w:hAnsi="Times New Roman" w:cs="Times New Roman"/>
          <w:bCs/>
          <w:i/>
          <w:iCs/>
          <w:sz w:val="24"/>
          <w:szCs w:val="24"/>
        </w:rPr>
        <w:t>The European Journal of Finance</w:t>
      </w:r>
      <w:r w:rsidRPr="00B57ED9">
        <w:rPr>
          <w:rFonts w:ascii="Times New Roman" w:hAnsi="Times New Roman" w:cs="Times New Roman"/>
          <w:bCs/>
          <w:sz w:val="24"/>
          <w:szCs w:val="24"/>
        </w:rPr>
        <w:t>, pp.1–27. doi:https://doi.org/10.1080/1351847x.2022.2113812.</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De Lucia, C., Pazienza, P. and Bartlett, M. (2020). Does Good ESG Lead to Better Financial Performances by Firms? Machine Learning and Logistic Regression Models of Public Enterprises in Europe. </w:t>
      </w:r>
      <w:r w:rsidRPr="00B57ED9">
        <w:rPr>
          <w:rFonts w:ascii="Times New Roman" w:hAnsi="Times New Roman" w:cs="Times New Roman"/>
          <w:bCs/>
          <w:i/>
          <w:iCs/>
          <w:sz w:val="24"/>
          <w:szCs w:val="24"/>
        </w:rPr>
        <w:t>Sustainability</w:t>
      </w:r>
      <w:r w:rsidRPr="00B57ED9">
        <w:rPr>
          <w:rFonts w:ascii="Times New Roman" w:hAnsi="Times New Roman" w:cs="Times New Roman"/>
          <w:bCs/>
          <w:sz w:val="24"/>
          <w:szCs w:val="24"/>
        </w:rPr>
        <w:t>, 12(13), p.5317. doi:https://doi.org/10.3390/su12135317.</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Drempetic, S., Klein, C. and Zwergel, B. (2020). The Influence of Firm Size on the ESG Score: Corporate Sustainability Ratings Under Review. </w:t>
      </w:r>
      <w:r w:rsidRPr="00B57ED9">
        <w:rPr>
          <w:rFonts w:ascii="Times New Roman" w:hAnsi="Times New Roman" w:cs="Times New Roman"/>
          <w:bCs/>
          <w:i/>
          <w:iCs/>
          <w:sz w:val="24"/>
          <w:szCs w:val="24"/>
        </w:rPr>
        <w:t>Journal of Business Ethics</w:t>
      </w:r>
      <w:r w:rsidRPr="00B57ED9">
        <w:rPr>
          <w:rFonts w:ascii="Times New Roman" w:hAnsi="Times New Roman" w:cs="Times New Roman"/>
          <w:bCs/>
          <w:sz w:val="24"/>
          <w:szCs w:val="24"/>
        </w:rPr>
        <w:t>, 167(2), pp.333–360. doi:https://doi.org/10.1007/s10551-019-04164-1.</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Duque-Grisales, E. and Aguilera-Caracuel, J. (2021). Environmental, Social and Governance (ESG) Scores and Financial Performance of Multilatinas: Moderating Effects of Geographic International Diversification and Financial Slack. </w:t>
      </w:r>
      <w:r w:rsidRPr="00B57ED9">
        <w:rPr>
          <w:rFonts w:ascii="Times New Roman" w:hAnsi="Times New Roman" w:cs="Times New Roman"/>
          <w:bCs/>
          <w:i/>
          <w:iCs/>
          <w:sz w:val="24"/>
          <w:szCs w:val="24"/>
        </w:rPr>
        <w:t>Journal of Business Ethics</w:t>
      </w:r>
      <w:r w:rsidRPr="00B57ED9">
        <w:rPr>
          <w:rFonts w:ascii="Times New Roman" w:hAnsi="Times New Roman" w:cs="Times New Roman"/>
          <w:bCs/>
          <w:sz w:val="24"/>
          <w:szCs w:val="24"/>
        </w:rPr>
        <w:t>, 168(2), pp.315–334. doi:https://doi.org/10.1007/s10551-019-04177-w.</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E Lippai-Makra, D Szládek, B Tóth, GD Kiss (2021). </w:t>
      </w:r>
      <w:r w:rsidRPr="00B57ED9">
        <w:rPr>
          <w:rFonts w:ascii="Times New Roman" w:hAnsi="Times New Roman" w:cs="Times New Roman"/>
          <w:bCs/>
          <w:i/>
          <w:iCs/>
          <w:sz w:val="24"/>
          <w:szCs w:val="24"/>
        </w:rPr>
        <w:t>Green Financial Perspectives</w:t>
      </w:r>
      <w:r w:rsidRPr="00B57ED9">
        <w:rPr>
          <w:rFonts w:ascii="Times New Roman" w:hAnsi="Times New Roman" w:cs="Times New Roman"/>
          <w:bCs/>
          <w:sz w:val="24"/>
          <w:szCs w:val="24"/>
        </w:rPr>
        <w:t>. [online] Available at: http://publicatio.bibl.u-</w:t>
      </w:r>
      <w:r w:rsidRPr="00B57ED9">
        <w:rPr>
          <w:rFonts w:ascii="Times New Roman" w:hAnsi="Times New Roman" w:cs="Times New Roman"/>
          <w:bCs/>
          <w:sz w:val="24"/>
          <w:szCs w:val="24"/>
        </w:rPr>
        <w:lastRenderedPageBreak/>
        <w:t>szeged.hu/22070/1/Environmental%2C%20social%20and%20Governance.pdf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ESG Nordea (2023). </w:t>
      </w:r>
      <w:r w:rsidRPr="00B57ED9">
        <w:rPr>
          <w:rFonts w:ascii="Times New Roman" w:hAnsi="Times New Roman" w:cs="Times New Roman"/>
          <w:bCs/>
          <w:i/>
          <w:iCs/>
          <w:sz w:val="24"/>
          <w:szCs w:val="24"/>
        </w:rPr>
        <w:t>ESG | Nordea</w:t>
      </w:r>
      <w:r w:rsidRPr="00B57ED9">
        <w:rPr>
          <w:rFonts w:ascii="Times New Roman" w:hAnsi="Times New Roman" w:cs="Times New Roman"/>
          <w:bCs/>
          <w:sz w:val="24"/>
          <w:szCs w:val="24"/>
        </w:rPr>
        <w:t>. [online] www.nordea.com. Available at: https://www.nordea.com/en/news-topics/esg.</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Freitas, A.C.S. (2022). </w:t>
      </w:r>
      <w:r w:rsidRPr="00B57ED9">
        <w:rPr>
          <w:rFonts w:ascii="Times New Roman" w:hAnsi="Times New Roman" w:cs="Times New Roman"/>
          <w:bCs/>
          <w:i/>
          <w:iCs/>
          <w:sz w:val="24"/>
          <w:szCs w:val="24"/>
        </w:rPr>
        <w:t>Factors that determine factoring as a financing alternative : the case study of BNP Paribas Factor</w:t>
      </w:r>
      <w:r w:rsidRPr="00B57ED9">
        <w:rPr>
          <w:rFonts w:ascii="Times New Roman" w:hAnsi="Times New Roman" w:cs="Times New Roman"/>
          <w:bCs/>
          <w:sz w:val="24"/>
          <w:szCs w:val="24"/>
        </w:rPr>
        <w:t>. [online] repositorio.ucp.pt. Available at: https://repositorio.ucp.pt/handle/10400.14/40599 [Accessed 20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Giese, G., Lee, L.-E., Melas, D., Nagy, Z. and Nishikawa, L. (2019). Foundations of ESG Investing: How ESG Affects Equity Valuation, Risk, and Performance. </w:t>
      </w:r>
      <w:r w:rsidRPr="00B57ED9">
        <w:rPr>
          <w:rFonts w:ascii="Times New Roman" w:hAnsi="Times New Roman" w:cs="Times New Roman"/>
          <w:bCs/>
          <w:i/>
          <w:iCs/>
          <w:sz w:val="24"/>
          <w:szCs w:val="24"/>
        </w:rPr>
        <w:t>The Journal of Portfolio Management</w:t>
      </w:r>
      <w:r w:rsidRPr="00B57ED9">
        <w:rPr>
          <w:rFonts w:ascii="Times New Roman" w:hAnsi="Times New Roman" w:cs="Times New Roman"/>
          <w:bCs/>
          <w:sz w:val="24"/>
          <w:szCs w:val="24"/>
        </w:rPr>
        <w:t>, 45(5), pp.69–83. doi:https://doi.org/10.3905/jpm.2019.45.5.069.</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Gillan, S.L., Koch, A. and Starks, L.T. (2021). Firms and Social responsibility: a Review of ESG and CSR Research in Corporate Finance. </w:t>
      </w:r>
      <w:r w:rsidRPr="00B57ED9">
        <w:rPr>
          <w:rFonts w:ascii="Times New Roman" w:hAnsi="Times New Roman" w:cs="Times New Roman"/>
          <w:bCs/>
          <w:i/>
          <w:iCs/>
          <w:sz w:val="24"/>
          <w:szCs w:val="24"/>
        </w:rPr>
        <w:t>Journal of Corporate Finance</w:t>
      </w:r>
      <w:r w:rsidRPr="00B57ED9">
        <w:rPr>
          <w:rFonts w:ascii="Times New Roman" w:hAnsi="Times New Roman" w:cs="Times New Roman"/>
          <w:bCs/>
          <w:sz w:val="24"/>
          <w:szCs w:val="24"/>
        </w:rPr>
        <w:t>, 66(101889), p.101889. doi:https://doi.org/10.1016/j.jcorpfin.2021.101889.</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Henriksson, R., Livnat, J., Pfeifer, P., Stumpp, M. and Zeng, G. (2018). </w:t>
      </w:r>
      <w:r w:rsidRPr="00B57ED9">
        <w:rPr>
          <w:rFonts w:ascii="Times New Roman" w:hAnsi="Times New Roman" w:cs="Times New Roman"/>
          <w:bCs/>
          <w:i/>
          <w:iCs/>
          <w:sz w:val="24"/>
          <w:szCs w:val="24"/>
        </w:rPr>
        <w:t>ESG Literature Review</w:t>
      </w:r>
      <w:r w:rsidRPr="00B57ED9">
        <w:rPr>
          <w:rFonts w:ascii="Times New Roman" w:hAnsi="Times New Roman" w:cs="Times New Roman"/>
          <w:bCs/>
          <w:sz w:val="24"/>
          <w:szCs w:val="24"/>
        </w:rPr>
        <w:t>. [online] Available at: https://cdn.pficdn.com/cms/pgimquantsolutions/sites/default/files/static_files/pdf/QMA_ESG_Literature_Review_June2018.pdf.</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Hvidkjær, S. (2017). </w:t>
      </w:r>
      <w:r w:rsidRPr="00B57ED9">
        <w:rPr>
          <w:rFonts w:ascii="Times New Roman" w:hAnsi="Times New Roman" w:cs="Times New Roman"/>
          <w:bCs/>
          <w:i/>
          <w:iCs/>
          <w:sz w:val="24"/>
          <w:szCs w:val="24"/>
        </w:rPr>
        <w:t>ESG investing: a literature review Søren Hvidkjaer Professor of Finance September 2017 Report prepared for Dansif</w:t>
      </w:r>
      <w:r w:rsidRPr="00B57ED9">
        <w:rPr>
          <w:rFonts w:ascii="Times New Roman" w:hAnsi="Times New Roman" w:cs="Times New Roman"/>
          <w:bCs/>
          <w:sz w:val="24"/>
          <w:szCs w:val="24"/>
        </w:rPr>
        <w:t>. [online] Available at: https://dansif.dk/wp-content/uploads/2019/01/Litterature-review-UK-Sep-2017.pdf.</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ING Climate Report (2022). </w:t>
      </w:r>
      <w:r w:rsidRPr="00B57ED9">
        <w:rPr>
          <w:rFonts w:ascii="Times New Roman" w:hAnsi="Times New Roman" w:cs="Times New Roman"/>
          <w:bCs/>
          <w:i/>
          <w:iCs/>
          <w:sz w:val="24"/>
          <w:szCs w:val="24"/>
        </w:rPr>
        <w:t>ING publishes climate report</w:t>
      </w:r>
      <w:r w:rsidRPr="00B57ED9">
        <w:rPr>
          <w:rFonts w:ascii="Times New Roman" w:hAnsi="Times New Roman" w:cs="Times New Roman"/>
          <w:bCs/>
          <w:sz w:val="24"/>
          <w:szCs w:val="24"/>
        </w:rPr>
        <w:t>. [online] ING.com. Available at: https://www.ing.com/Newsroom/News/ING-publishes-climate-report.htm [Accessed 20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ING Group (2020). </w:t>
      </w:r>
      <w:r w:rsidRPr="00B57ED9">
        <w:rPr>
          <w:rFonts w:ascii="Times New Roman" w:hAnsi="Times New Roman" w:cs="Times New Roman"/>
          <w:bCs/>
          <w:i/>
          <w:iCs/>
          <w:sz w:val="24"/>
          <w:szCs w:val="24"/>
        </w:rPr>
        <w:t>Sustainable finance, financing change in the world • ING</w:t>
      </w:r>
      <w:r w:rsidRPr="00B57ED9">
        <w:rPr>
          <w:rFonts w:ascii="Times New Roman" w:hAnsi="Times New Roman" w:cs="Times New Roman"/>
          <w:bCs/>
          <w:sz w:val="24"/>
          <w:szCs w:val="24"/>
        </w:rPr>
        <w:t>. [online] Ingwb.com. Available at: https://www.ingwb.com/en/sustainable-finance.</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ING.com (2023a). </w:t>
      </w:r>
      <w:r w:rsidRPr="00B57ED9">
        <w:rPr>
          <w:rFonts w:ascii="Times New Roman" w:hAnsi="Times New Roman" w:cs="Times New Roman"/>
          <w:bCs/>
          <w:i/>
          <w:iCs/>
          <w:sz w:val="24"/>
          <w:szCs w:val="24"/>
        </w:rPr>
        <w:t>3Q 2023 Results</w:t>
      </w:r>
      <w:r w:rsidRPr="00B57ED9">
        <w:rPr>
          <w:rFonts w:ascii="Times New Roman" w:hAnsi="Times New Roman" w:cs="Times New Roman"/>
          <w:bCs/>
          <w:sz w:val="24"/>
          <w:szCs w:val="24"/>
        </w:rPr>
        <w:t>. [online] ING.com. Available at: https://www.ing.com/Newsroom/News/3Q-2023-Results.htm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lastRenderedPageBreak/>
        <w:t xml:space="preserve">ING.com (2023b). </w:t>
      </w:r>
      <w:r w:rsidRPr="00B57ED9">
        <w:rPr>
          <w:rFonts w:ascii="Times New Roman" w:hAnsi="Times New Roman" w:cs="Times New Roman"/>
          <w:bCs/>
          <w:i/>
          <w:iCs/>
          <w:sz w:val="24"/>
          <w:szCs w:val="24"/>
        </w:rPr>
        <w:t>Sustainability</w:t>
      </w:r>
      <w:r w:rsidRPr="00B57ED9">
        <w:rPr>
          <w:rFonts w:ascii="Times New Roman" w:hAnsi="Times New Roman" w:cs="Times New Roman"/>
          <w:bCs/>
          <w:sz w:val="24"/>
          <w:szCs w:val="24"/>
        </w:rPr>
        <w:t>. [online] ING.com. Available at: https://www.ing.com/Sustainability.htm.</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Intesa Sanpaolo (2022). </w:t>
      </w:r>
      <w:r w:rsidRPr="00B57ED9">
        <w:rPr>
          <w:rFonts w:ascii="Times New Roman" w:hAnsi="Times New Roman" w:cs="Times New Roman"/>
          <w:bCs/>
          <w:i/>
          <w:iCs/>
          <w:sz w:val="24"/>
          <w:szCs w:val="24"/>
        </w:rPr>
        <w:t>Sustainability indices - Intesa Sanpaolo</w:t>
      </w:r>
      <w:r w:rsidRPr="00B57ED9">
        <w:rPr>
          <w:rFonts w:ascii="Times New Roman" w:hAnsi="Times New Roman" w:cs="Times New Roman"/>
          <w:bCs/>
          <w:sz w:val="24"/>
          <w:szCs w:val="24"/>
        </w:rPr>
        <w:t>. [online] Intesa Sanpaolo Group. Available at: https://group.intesasanpaolo.com/en/sustainability/indices-awards-and-certifications/sustainability-indices.</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Intesa Sanpaolo (2023a). </w:t>
      </w:r>
      <w:r w:rsidRPr="00B57ED9">
        <w:rPr>
          <w:rFonts w:ascii="Times New Roman" w:hAnsi="Times New Roman" w:cs="Times New Roman"/>
          <w:bCs/>
          <w:i/>
          <w:iCs/>
          <w:sz w:val="24"/>
          <w:szCs w:val="24"/>
        </w:rPr>
        <w:t>Sustainable Investments | Intesa Sanpaolo</w:t>
      </w:r>
      <w:r w:rsidRPr="00B57ED9">
        <w:rPr>
          <w:rFonts w:ascii="Times New Roman" w:hAnsi="Times New Roman" w:cs="Times New Roman"/>
          <w:bCs/>
          <w:sz w:val="24"/>
          <w:szCs w:val="24"/>
        </w:rPr>
        <w:t>. [online] Intesa Sanpaolo Group. Available at: https://group.intesasanpaolo.com/en/sustainability/support-to-esg-transition/sustainable-investments [Accessed 20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Jane Courtnell (2022). </w:t>
      </w:r>
      <w:r w:rsidRPr="00B57ED9">
        <w:rPr>
          <w:rFonts w:ascii="Times New Roman" w:hAnsi="Times New Roman" w:cs="Times New Roman"/>
          <w:bCs/>
          <w:i/>
          <w:iCs/>
          <w:sz w:val="24"/>
          <w:szCs w:val="24"/>
        </w:rPr>
        <w:t>ESG Reporting Frameworks, Standards, and Requirements</w:t>
      </w:r>
      <w:r w:rsidRPr="00B57ED9">
        <w:rPr>
          <w:rFonts w:ascii="Times New Roman" w:hAnsi="Times New Roman" w:cs="Times New Roman"/>
          <w:bCs/>
          <w:sz w:val="24"/>
          <w:szCs w:val="24"/>
        </w:rPr>
        <w:t>. [online] Code42.org. Available at: https://code42.org/esg-measurement-and-evaluation-frameworks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jhaxell (2023). </w:t>
      </w:r>
      <w:r w:rsidRPr="00B57ED9">
        <w:rPr>
          <w:rFonts w:ascii="Times New Roman" w:hAnsi="Times New Roman" w:cs="Times New Roman"/>
          <w:bCs/>
          <w:i/>
          <w:iCs/>
          <w:sz w:val="24"/>
          <w:szCs w:val="24"/>
        </w:rPr>
        <w:t>Novisto drives ESG reporting innovation with $20m funding</w:t>
      </w:r>
      <w:r w:rsidRPr="00B57ED9">
        <w:rPr>
          <w:rFonts w:ascii="Times New Roman" w:hAnsi="Times New Roman" w:cs="Times New Roman"/>
          <w:bCs/>
          <w:sz w:val="24"/>
          <w:szCs w:val="24"/>
        </w:rPr>
        <w:t>. [online] FinTech Global. Available at: https://fintech.global/2023/05/25/novisto-drives-esg-reporting-innovation-with-20m-funding/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Karen Gloria Vargas‐Santander, Álvarez‐Díez, S., J. Samuel Baixauli‐Soler and María Belda‐Ruiz (2023). Corporate social responsibility and financial performance. </w:t>
      </w:r>
      <w:r w:rsidRPr="00B57ED9">
        <w:rPr>
          <w:rFonts w:ascii="Times New Roman" w:hAnsi="Times New Roman" w:cs="Times New Roman"/>
          <w:bCs/>
          <w:i/>
          <w:iCs/>
          <w:sz w:val="24"/>
          <w:szCs w:val="24"/>
        </w:rPr>
        <w:t>Corporate Social Responsibility and Environmental Management</w:t>
      </w:r>
      <w:r w:rsidRPr="00B57ED9">
        <w:rPr>
          <w:rFonts w:ascii="Times New Roman" w:hAnsi="Times New Roman" w:cs="Times New Roman"/>
          <w:bCs/>
          <w:sz w:val="24"/>
          <w:szCs w:val="24"/>
        </w:rPr>
        <w:t>, 30(6), pp.3075–3094. doi:https://doi.org/10.1002/csr.2539.</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Karuppiah, K., Sankaranarayanan, B. and Ali, S.M. (2023). A systematic review of sustainable business models: Opportunities, challenges, and future research directions. </w:t>
      </w:r>
      <w:r w:rsidRPr="00B57ED9">
        <w:rPr>
          <w:rFonts w:ascii="Times New Roman" w:hAnsi="Times New Roman" w:cs="Times New Roman"/>
          <w:bCs/>
          <w:i/>
          <w:iCs/>
          <w:sz w:val="24"/>
          <w:szCs w:val="24"/>
        </w:rPr>
        <w:t>Decision Analytics Journal</w:t>
      </w:r>
      <w:r w:rsidRPr="00B57ED9">
        <w:rPr>
          <w:rFonts w:ascii="Times New Roman" w:hAnsi="Times New Roman" w:cs="Times New Roman"/>
          <w:bCs/>
          <w:sz w:val="24"/>
          <w:szCs w:val="24"/>
        </w:rPr>
        <w:t>, [online] 8, p.100272. doi:https://doi.org/10.1016/j.dajour.2023.100272.</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Klapper, R.G., Oberstrass, T. and Upham, P. (2021). Integrated Pedagogy for Sustainable Entrepreneurship and Innovation: The Case of EIT Climate KIC. </w:t>
      </w:r>
      <w:r w:rsidRPr="00B57ED9">
        <w:rPr>
          <w:rFonts w:ascii="Times New Roman" w:hAnsi="Times New Roman" w:cs="Times New Roman"/>
          <w:bCs/>
          <w:i/>
          <w:iCs/>
          <w:sz w:val="24"/>
          <w:szCs w:val="24"/>
        </w:rPr>
        <w:t>Academy of Management Proceedings</w:t>
      </w:r>
      <w:r w:rsidRPr="00B57ED9">
        <w:rPr>
          <w:rFonts w:ascii="Times New Roman" w:hAnsi="Times New Roman" w:cs="Times New Roman"/>
          <w:bCs/>
          <w:sz w:val="24"/>
          <w:szCs w:val="24"/>
        </w:rPr>
        <w:t>, 2021(1), p.16297. doi:https://doi.org/10.5465/ambpp.2021.105.</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Koundouri, P., Pittis, N. and Plataniotis, A. (2021). The Impact of ESG Performance on the Financial Performance of European Area Companies: An Empirical Examination. </w:t>
      </w:r>
      <w:r w:rsidRPr="00B57ED9">
        <w:rPr>
          <w:rFonts w:ascii="Times New Roman" w:hAnsi="Times New Roman" w:cs="Times New Roman"/>
          <w:bCs/>
          <w:i/>
          <w:iCs/>
          <w:sz w:val="24"/>
          <w:szCs w:val="24"/>
        </w:rPr>
        <w:t>ICSD 2021</w:t>
      </w:r>
      <w:r w:rsidRPr="00B57ED9">
        <w:rPr>
          <w:rFonts w:ascii="Times New Roman" w:hAnsi="Times New Roman" w:cs="Times New Roman"/>
          <w:bCs/>
          <w:sz w:val="24"/>
          <w:szCs w:val="24"/>
        </w:rPr>
        <w:t>, 15(1). doi:https://doi.org/10.3390/environsciproc2022015013.</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lastRenderedPageBreak/>
        <w:t xml:space="preserve">Krosinsky, C. and Robins, N. (2012). </w:t>
      </w:r>
      <w:r w:rsidRPr="00B57ED9">
        <w:rPr>
          <w:rFonts w:ascii="Times New Roman" w:hAnsi="Times New Roman" w:cs="Times New Roman"/>
          <w:bCs/>
          <w:i/>
          <w:iCs/>
          <w:sz w:val="24"/>
          <w:szCs w:val="24"/>
        </w:rPr>
        <w:t>Sustainable Investing: The Art of Long-Term Performance</w:t>
      </w:r>
      <w:r w:rsidRPr="00B57ED9">
        <w:rPr>
          <w:rFonts w:ascii="Times New Roman" w:hAnsi="Times New Roman" w:cs="Times New Roman"/>
          <w:bCs/>
          <w:sz w:val="24"/>
          <w:szCs w:val="24"/>
        </w:rPr>
        <w:t xml:space="preserve">. [online] </w:t>
      </w:r>
      <w:r w:rsidRPr="00B57ED9">
        <w:rPr>
          <w:rFonts w:ascii="Times New Roman" w:hAnsi="Times New Roman" w:cs="Times New Roman"/>
          <w:bCs/>
          <w:i/>
          <w:iCs/>
          <w:sz w:val="24"/>
          <w:szCs w:val="24"/>
        </w:rPr>
        <w:t>Google Books</w:t>
      </w:r>
      <w:r w:rsidRPr="00B57ED9">
        <w:rPr>
          <w:rFonts w:ascii="Times New Roman" w:hAnsi="Times New Roman" w:cs="Times New Roman"/>
          <w:bCs/>
          <w:sz w:val="24"/>
          <w:szCs w:val="24"/>
        </w:rPr>
        <w:t>. Routledge. Available at: https://books.google.com/books?hl=en&amp;lr=lang_en&amp;id=mds6doH7qUMC&amp;oi=fnd&amp;pg=PR5&amp;dq=robins+2012+corporate&amp;ots=w-hJSrrt17&amp;sig=vdXFd29ADOYImTnPe_4-hv1mibA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Kurniawati, H., Retnowati, S., Riyono, B. and Widyawati, W. (2018). Literature Review of Spiritual Care in Islamic Cultural Perspective. </w:t>
      </w:r>
      <w:r w:rsidRPr="00B57ED9">
        <w:rPr>
          <w:rFonts w:ascii="Times New Roman" w:hAnsi="Times New Roman" w:cs="Times New Roman"/>
          <w:bCs/>
          <w:i/>
          <w:iCs/>
          <w:sz w:val="24"/>
          <w:szCs w:val="24"/>
        </w:rPr>
        <w:t>IBDA` : Jurnal Kajian Islam dan Budaya</w:t>
      </w:r>
      <w:r w:rsidRPr="00B57ED9">
        <w:rPr>
          <w:rFonts w:ascii="Times New Roman" w:hAnsi="Times New Roman" w:cs="Times New Roman"/>
          <w:bCs/>
          <w:sz w:val="24"/>
          <w:szCs w:val="24"/>
        </w:rPr>
        <w:t>, 16(2), pp.350–368. doi:https://doi.org/10.24090/ibda.v16i2.1942.</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L Van Meerbeck (2023). </w:t>
      </w:r>
      <w:r w:rsidRPr="00B57ED9">
        <w:rPr>
          <w:rFonts w:ascii="Times New Roman" w:hAnsi="Times New Roman" w:cs="Times New Roman"/>
          <w:bCs/>
          <w:i/>
          <w:iCs/>
          <w:sz w:val="24"/>
          <w:szCs w:val="24"/>
        </w:rPr>
        <w:t>" What is the current status of ESG reporting and what is the evolution of ESG requirements at bank level?</w:t>
      </w:r>
      <w:r w:rsidRPr="00B57ED9">
        <w:rPr>
          <w:rFonts w:ascii="Times New Roman" w:hAnsi="Times New Roman" w:cs="Times New Roman"/>
          <w:bCs/>
          <w:sz w:val="24"/>
          <w:szCs w:val="24"/>
        </w:rPr>
        <w:t xml:space="preserve"> [online] Uclouvain.be. Available at: https://dial.uclouvain.be/downloader/downloader.php?pid=thesis%3A41494&amp;datastream=PDF_01&amp;cover=cover-mem [Accessed 20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Lagasio, V. and Cucari, N. (2019). Corporate governance and environmental social governance disclosure: A meta-analytical review. </w:t>
      </w:r>
      <w:r w:rsidRPr="00B57ED9">
        <w:rPr>
          <w:rFonts w:ascii="Times New Roman" w:hAnsi="Times New Roman" w:cs="Times New Roman"/>
          <w:bCs/>
          <w:i/>
          <w:iCs/>
          <w:sz w:val="24"/>
          <w:szCs w:val="24"/>
        </w:rPr>
        <w:t>Corporate Social Responsibility and Environmental Management</w:t>
      </w:r>
      <w:r w:rsidRPr="00B57ED9">
        <w:rPr>
          <w:rFonts w:ascii="Times New Roman" w:hAnsi="Times New Roman" w:cs="Times New Roman"/>
          <w:bCs/>
          <w:sz w:val="24"/>
          <w:szCs w:val="24"/>
        </w:rPr>
        <w:t>, 26(4), pp.701–711. doi:https://doi.org/10.1002/csr.1716.</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Landrum, N.E. and Ohsowski, B. (2021). Identifying Worldviews on Corporate Sustainability: A Content Analysis of Corporate Sustainability Reports. </w:t>
      </w:r>
      <w:r w:rsidRPr="00B57ED9">
        <w:rPr>
          <w:rFonts w:ascii="Times New Roman" w:hAnsi="Times New Roman" w:cs="Times New Roman"/>
          <w:bCs/>
          <w:i/>
          <w:iCs/>
          <w:sz w:val="24"/>
          <w:szCs w:val="24"/>
        </w:rPr>
        <w:t>Business Strategy and the Environment</w:t>
      </w:r>
      <w:r w:rsidRPr="00B57ED9">
        <w:rPr>
          <w:rFonts w:ascii="Times New Roman" w:hAnsi="Times New Roman" w:cs="Times New Roman"/>
          <w:bCs/>
          <w:sz w:val="24"/>
          <w:szCs w:val="24"/>
        </w:rPr>
        <w:t>, 27(1), pp.128–151. doi:https://doi.org/10.1002/bse.1989.</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Maalahti, J. (2020). ESG, reputation and share price : evidence from Nordic banks. </w:t>
      </w:r>
      <w:r w:rsidRPr="00B57ED9">
        <w:rPr>
          <w:rFonts w:ascii="Times New Roman" w:hAnsi="Times New Roman" w:cs="Times New Roman"/>
          <w:bCs/>
          <w:i/>
          <w:iCs/>
          <w:sz w:val="24"/>
          <w:szCs w:val="24"/>
        </w:rPr>
        <w:t>lutpub.lut.fi</w:t>
      </w:r>
      <w:r w:rsidRPr="00B57ED9">
        <w:rPr>
          <w:rFonts w:ascii="Times New Roman" w:hAnsi="Times New Roman" w:cs="Times New Roman"/>
          <w:bCs/>
          <w:sz w:val="24"/>
          <w:szCs w:val="24"/>
        </w:rPr>
        <w:t>. [online] Available at: https://lutpub.lut.fi/handle/10024/161379 [Accessed 20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Macrotrends (2023). </w:t>
      </w:r>
      <w:r w:rsidRPr="00B57ED9">
        <w:rPr>
          <w:rFonts w:ascii="Times New Roman" w:hAnsi="Times New Roman" w:cs="Times New Roman"/>
          <w:bCs/>
          <w:i/>
          <w:iCs/>
          <w:sz w:val="24"/>
          <w:szCs w:val="24"/>
        </w:rPr>
        <w:t>Macrotrends | the Long Term Perspective on Markets</w:t>
      </w:r>
      <w:r w:rsidRPr="00B57ED9">
        <w:rPr>
          <w:rFonts w:ascii="Times New Roman" w:hAnsi="Times New Roman" w:cs="Times New Roman"/>
          <w:bCs/>
          <w:sz w:val="24"/>
          <w:szCs w:val="24"/>
        </w:rPr>
        <w:t>. [online] Macrotrends.net. Available at: https://www.macrotrends.net/.</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Madison, N. and Schiehll, E. (2021). The Effect of Financial Materiality on ESG Performance Assessment. </w:t>
      </w:r>
      <w:r w:rsidRPr="00B57ED9">
        <w:rPr>
          <w:rFonts w:ascii="Times New Roman" w:hAnsi="Times New Roman" w:cs="Times New Roman"/>
          <w:bCs/>
          <w:i/>
          <w:iCs/>
          <w:sz w:val="24"/>
          <w:szCs w:val="24"/>
        </w:rPr>
        <w:t>Sustainability</w:t>
      </w:r>
      <w:r w:rsidRPr="00B57ED9">
        <w:rPr>
          <w:rFonts w:ascii="Times New Roman" w:hAnsi="Times New Roman" w:cs="Times New Roman"/>
          <w:bCs/>
          <w:sz w:val="24"/>
          <w:szCs w:val="24"/>
        </w:rPr>
        <w:t>, 13(7), p.3652. doi:https://doi.org/10.3390/su13073652.</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Mange, P. (2019). </w:t>
      </w:r>
      <w:r w:rsidRPr="00B57ED9">
        <w:rPr>
          <w:rFonts w:ascii="Times New Roman" w:hAnsi="Times New Roman" w:cs="Times New Roman"/>
          <w:bCs/>
          <w:i/>
          <w:iCs/>
          <w:sz w:val="24"/>
          <w:szCs w:val="24"/>
        </w:rPr>
        <w:t>BNP Paribas</w:t>
      </w:r>
      <w:r w:rsidRPr="00B57ED9">
        <w:rPr>
          <w:rFonts w:ascii="Times New Roman" w:hAnsi="Times New Roman" w:cs="Times New Roman"/>
          <w:bCs/>
          <w:sz w:val="24"/>
          <w:szCs w:val="24"/>
        </w:rPr>
        <w:t>. [online] Available at: http://www.bigonline.pt/pdf/fundos/artigos/EstrInvestPatrickMange012006.PDF [Accessed 20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lastRenderedPageBreak/>
        <w:t xml:space="preserve">Masola, C. (2023). </w:t>
      </w:r>
      <w:r w:rsidRPr="00B57ED9">
        <w:rPr>
          <w:rFonts w:ascii="Times New Roman" w:hAnsi="Times New Roman" w:cs="Times New Roman"/>
          <w:bCs/>
          <w:i/>
          <w:iCs/>
          <w:sz w:val="24"/>
          <w:szCs w:val="24"/>
        </w:rPr>
        <w:t>Analisi della metodologia OKR (Objective and Key Results), della sua applicazione ad un caso studio di Intesa Sanpaolo e possibile suo utilizzo in sistemi aziendali complessi. = Analysis of the OKR (Objective and Key Results) methodology, its application to an Intesa Sanpaolo case study and its possible use in complex business systems.</w:t>
      </w:r>
      <w:r w:rsidRPr="00B57ED9">
        <w:rPr>
          <w:rFonts w:ascii="Times New Roman" w:hAnsi="Times New Roman" w:cs="Times New Roman"/>
          <w:bCs/>
          <w:sz w:val="24"/>
          <w:szCs w:val="24"/>
        </w:rPr>
        <w:t xml:space="preserve"> [online] webthesis.biblio.polito.it. Available at: https://webthesis.biblio.polito.it/29697/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Miralles-Quirós, M., Miralles-Quirós, J. and Redondo Hernández, J. (2019). ESG Performance and Shareholder Value Creation in the Banking Industry: International Differences. </w:t>
      </w:r>
      <w:r w:rsidRPr="00B57ED9">
        <w:rPr>
          <w:rFonts w:ascii="Times New Roman" w:hAnsi="Times New Roman" w:cs="Times New Roman"/>
          <w:bCs/>
          <w:i/>
          <w:iCs/>
          <w:sz w:val="24"/>
          <w:szCs w:val="24"/>
        </w:rPr>
        <w:t>Sustainability</w:t>
      </w:r>
      <w:r w:rsidRPr="00B57ED9">
        <w:rPr>
          <w:rFonts w:ascii="Times New Roman" w:hAnsi="Times New Roman" w:cs="Times New Roman"/>
          <w:bCs/>
          <w:sz w:val="24"/>
          <w:szCs w:val="24"/>
        </w:rPr>
        <w:t>, [online] 11(5), p.1404. doi:https://doi.org/10.3390/su11051404.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OM Bătae, VD Dragomir, L Feleagă (2020). Environmental, social, governance (ESG), and financial performance of European banks. </w:t>
      </w:r>
      <w:r w:rsidRPr="00B57ED9">
        <w:rPr>
          <w:rFonts w:ascii="Times New Roman" w:hAnsi="Times New Roman" w:cs="Times New Roman"/>
          <w:bCs/>
          <w:i/>
          <w:iCs/>
          <w:sz w:val="24"/>
          <w:szCs w:val="24"/>
        </w:rPr>
        <w:t>Journal of Accounting and Management Information Systems</w:t>
      </w:r>
      <w:r w:rsidRPr="00B57ED9">
        <w:rPr>
          <w:rFonts w:ascii="Times New Roman" w:hAnsi="Times New Roman" w:cs="Times New Roman"/>
          <w:bCs/>
          <w:sz w:val="24"/>
          <w:szCs w:val="24"/>
        </w:rPr>
        <w:t>, [online] 19(3), pp.480–501. Available at: https://www.ceeol.com/search/article-detail?id=899304.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Oualaid, J.O. and Sassi, H. (2021). The ESG impact on corporate financial performance in developing countries: A systematic literature review. </w:t>
      </w:r>
      <w:r w:rsidRPr="00B57ED9">
        <w:rPr>
          <w:rFonts w:ascii="Times New Roman" w:hAnsi="Times New Roman" w:cs="Times New Roman"/>
          <w:bCs/>
          <w:i/>
          <w:iCs/>
          <w:sz w:val="24"/>
          <w:szCs w:val="24"/>
        </w:rPr>
        <w:t>International Journal of Accounting, Finance, Auditing, Management and Economics</w:t>
      </w:r>
      <w:r w:rsidRPr="00B57ED9">
        <w:rPr>
          <w:rFonts w:ascii="Times New Roman" w:hAnsi="Times New Roman" w:cs="Times New Roman"/>
          <w:bCs/>
          <w:sz w:val="24"/>
          <w:szCs w:val="24"/>
        </w:rPr>
        <w:t>, [online] 2(6), pp.391–410. doi:https://doi.org/10.5281/zenodo.5706449.</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Paribas, B. (2023b). </w:t>
      </w:r>
      <w:r w:rsidRPr="00B57ED9">
        <w:rPr>
          <w:rFonts w:ascii="Times New Roman" w:hAnsi="Times New Roman" w:cs="Times New Roman"/>
          <w:bCs/>
          <w:i/>
          <w:iCs/>
          <w:sz w:val="24"/>
          <w:szCs w:val="24"/>
        </w:rPr>
        <w:t>BNP Paribas: the year 2023 in 12 key figures! - BNP Paribas</w:t>
      </w:r>
      <w:r w:rsidRPr="00B57ED9">
        <w:rPr>
          <w:rFonts w:ascii="Times New Roman" w:hAnsi="Times New Roman" w:cs="Times New Roman"/>
          <w:bCs/>
          <w:sz w:val="24"/>
          <w:szCs w:val="24"/>
        </w:rPr>
        <w:t>. [online] BNP Paribas. Available at: https://group.bnpparibas/en/news/bnp-paribas-the-year-2023-in-12-key-figures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Peloza, J. (2009). The Challenge of Measuring Financial Impacts From Investments in Corporate Social Performance. </w:t>
      </w:r>
      <w:r w:rsidRPr="00B57ED9">
        <w:rPr>
          <w:rFonts w:ascii="Times New Roman" w:hAnsi="Times New Roman" w:cs="Times New Roman"/>
          <w:bCs/>
          <w:i/>
          <w:iCs/>
          <w:sz w:val="24"/>
          <w:szCs w:val="24"/>
        </w:rPr>
        <w:t>Journal of Management</w:t>
      </w:r>
      <w:r w:rsidRPr="00B57ED9">
        <w:rPr>
          <w:rFonts w:ascii="Times New Roman" w:hAnsi="Times New Roman" w:cs="Times New Roman"/>
          <w:bCs/>
          <w:sz w:val="24"/>
          <w:szCs w:val="24"/>
        </w:rPr>
        <w:t>, 35(6), pp.1518–1541. doi:https://doi.org/10.1177/0149206309335188.</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Pereira, L., Pinto, M., Costa, R.L. da, Dias, Á. and Gonçalves, R. (2021). The New SWOT for a Sustainable World. </w:t>
      </w:r>
      <w:r w:rsidRPr="00B57ED9">
        <w:rPr>
          <w:rFonts w:ascii="Times New Roman" w:hAnsi="Times New Roman" w:cs="Times New Roman"/>
          <w:bCs/>
          <w:i/>
          <w:iCs/>
          <w:sz w:val="24"/>
          <w:szCs w:val="24"/>
        </w:rPr>
        <w:t>Journal of Open Innovation: Technology, Market, and Complexity</w:t>
      </w:r>
      <w:r w:rsidRPr="00B57ED9">
        <w:rPr>
          <w:rFonts w:ascii="Times New Roman" w:hAnsi="Times New Roman" w:cs="Times New Roman"/>
          <w:bCs/>
          <w:sz w:val="24"/>
          <w:szCs w:val="24"/>
        </w:rPr>
        <w:t>, 7(1), p.18. doi:https://doi.org/10.3390/joitmc7010018.</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PERRICONE, M. (2017). </w:t>
      </w:r>
      <w:r w:rsidRPr="00B57ED9">
        <w:rPr>
          <w:rFonts w:ascii="Times New Roman" w:hAnsi="Times New Roman" w:cs="Times New Roman"/>
          <w:bCs/>
          <w:i/>
          <w:iCs/>
          <w:sz w:val="24"/>
          <w:szCs w:val="24"/>
        </w:rPr>
        <w:t>RISK: THE INTESA SANPAOLO CASE</w:t>
      </w:r>
      <w:r w:rsidRPr="00B57ED9">
        <w:rPr>
          <w:rFonts w:ascii="Times New Roman" w:hAnsi="Times New Roman" w:cs="Times New Roman"/>
          <w:bCs/>
          <w:sz w:val="24"/>
          <w:szCs w:val="24"/>
        </w:rPr>
        <w:t>. [online] etd.adm.unipi.it. Available at: https://etd.adm.unipi.it/t/etd-11212017-223116/ [Accessed 20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lastRenderedPageBreak/>
        <w:t xml:space="preserve">Polyzoidis, N. (2023). </w:t>
      </w:r>
      <w:r w:rsidRPr="00B57ED9">
        <w:rPr>
          <w:rFonts w:ascii="Times New Roman" w:hAnsi="Times New Roman" w:cs="Times New Roman"/>
          <w:bCs/>
          <w:i/>
          <w:iCs/>
          <w:sz w:val="24"/>
          <w:szCs w:val="24"/>
        </w:rPr>
        <w:t>The Role of EU Legislation and Corporate Social Responsibility in Dealing with Greenwashing in the Spanish banking sector : A comparative case study between a commercial bank, Santander Bank, and a cooperative bank, Caja Laboral Popular Bank</w:t>
      </w:r>
      <w:r w:rsidRPr="00B57ED9">
        <w:rPr>
          <w:rFonts w:ascii="Times New Roman" w:hAnsi="Times New Roman" w:cs="Times New Roman"/>
          <w:bCs/>
          <w:sz w:val="24"/>
          <w:szCs w:val="24"/>
        </w:rPr>
        <w:t xml:space="preserve">. [online] </w:t>
      </w:r>
      <w:r w:rsidRPr="00B57ED9">
        <w:rPr>
          <w:rFonts w:ascii="Times New Roman" w:hAnsi="Times New Roman" w:cs="Times New Roman"/>
          <w:bCs/>
          <w:i/>
          <w:iCs/>
          <w:sz w:val="24"/>
          <w:szCs w:val="24"/>
        </w:rPr>
        <w:t>www.diva-portal.org</w:t>
      </w:r>
      <w:r w:rsidRPr="00B57ED9">
        <w:rPr>
          <w:rFonts w:ascii="Times New Roman" w:hAnsi="Times New Roman" w:cs="Times New Roman"/>
          <w:bCs/>
          <w:sz w:val="24"/>
          <w:szCs w:val="24"/>
        </w:rPr>
        <w:t>. Available at: https://www.diva-portal.org/smash/record.jsf?pid=diva2:1762943.</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PWC (2020). </w:t>
      </w:r>
      <w:r w:rsidRPr="00B57ED9">
        <w:rPr>
          <w:rFonts w:ascii="Times New Roman" w:hAnsi="Times New Roman" w:cs="Times New Roman"/>
          <w:bCs/>
          <w:i/>
          <w:iCs/>
          <w:sz w:val="24"/>
          <w:szCs w:val="24"/>
        </w:rPr>
        <w:t>PwC Annual Report 2020-2021</w:t>
      </w:r>
      <w:r w:rsidRPr="00B57ED9">
        <w:rPr>
          <w:rFonts w:ascii="Times New Roman" w:hAnsi="Times New Roman" w:cs="Times New Roman"/>
          <w:bCs/>
          <w:sz w:val="24"/>
          <w:szCs w:val="24"/>
        </w:rPr>
        <w:t>. [online] PwC. Available at: https://www.pwc.com/my/en/publications/2021/pwc-annual-report-2021.html.</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Rao (2020). </w:t>
      </w:r>
      <w:r w:rsidRPr="00B57ED9">
        <w:rPr>
          <w:rFonts w:ascii="Times New Roman" w:hAnsi="Times New Roman" w:cs="Times New Roman"/>
          <w:bCs/>
          <w:i/>
          <w:iCs/>
          <w:sz w:val="24"/>
          <w:szCs w:val="24"/>
        </w:rPr>
        <w:t>Sampling Methodologies with Applications</w:t>
      </w:r>
      <w:r w:rsidRPr="00B57ED9">
        <w:rPr>
          <w:rFonts w:ascii="Times New Roman" w:hAnsi="Times New Roman" w:cs="Times New Roman"/>
          <w:bCs/>
          <w:sz w:val="24"/>
          <w:szCs w:val="24"/>
        </w:rPr>
        <w:t>. [online] Routledge &amp; CRC Press. Available at: https://www.routledge.com/Sampling-Methodologies-with-Applications/Rao/p/book/9781584882145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Robinson, S. and McIntosh, M.G. (2022). A Literature Review of Environmental, Social, and Governance (ESG) in Commercial Real Estate. </w:t>
      </w:r>
      <w:r w:rsidRPr="00B57ED9">
        <w:rPr>
          <w:rFonts w:ascii="Times New Roman" w:hAnsi="Times New Roman" w:cs="Times New Roman"/>
          <w:bCs/>
          <w:i/>
          <w:iCs/>
          <w:sz w:val="24"/>
          <w:szCs w:val="24"/>
        </w:rPr>
        <w:t>Journal of Real Estate Literature</w:t>
      </w:r>
      <w:r w:rsidRPr="00B57ED9">
        <w:rPr>
          <w:rFonts w:ascii="Times New Roman" w:hAnsi="Times New Roman" w:cs="Times New Roman"/>
          <w:bCs/>
          <w:sz w:val="24"/>
          <w:szCs w:val="24"/>
        </w:rPr>
        <w:t>, pp.1–14. doi:https://doi.org/10.1080/09277544.2022.2106639.</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Sanpaolo, I. (2023b). </w:t>
      </w:r>
      <w:r w:rsidRPr="00B57ED9">
        <w:rPr>
          <w:rFonts w:ascii="Times New Roman" w:hAnsi="Times New Roman" w:cs="Times New Roman"/>
          <w:bCs/>
          <w:i/>
          <w:iCs/>
          <w:sz w:val="24"/>
          <w:szCs w:val="24"/>
        </w:rPr>
        <w:t>Intesa Sanpaolo: consolidated results as at 30 september 2023</w:t>
      </w:r>
      <w:r w:rsidRPr="00B57ED9">
        <w:rPr>
          <w:rFonts w:ascii="Times New Roman" w:hAnsi="Times New Roman" w:cs="Times New Roman"/>
          <w:bCs/>
          <w:sz w:val="24"/>
          <w:szCs w:val="24"/>
        </w:rPr>
        <w:t>. [online] Intesa Sanpaolo Group. Available at: https://group.intesasanpaolo.com/en/investor-relations/press-releases/2023/11/20231103-ris-3q23-uk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Santander (2022). </w:t>
      </w:r>
      <w:r w:rsidRPr="00B57ED9">
        <w:rPr>
          <w:rFonts w:ascii="Times New Roman" w:hAnsi="Times New Roman" w:cs="Times New Roman"/>
          <w:bCs/>
          <w:i/>
          <w:iCs/>
          <w:sz w:val="24"/>
          <w:szCs w:val="24"/>
        </w:rPr>
        <w:t>Santander confirms its financial targets for 2022 as its unique diversification provides a ‘resilient foundation for growth’</w:t>
      </w:r>
      <w:r w:rsidRPr="00B57ED9">
        <w:rPr>
          <w:rFonts w:ascii="Times New Roman" w:hAnsi="Times New Roman" w:cs="Times New Roman"/>
          <w:bCs/>
          <w:sz w:val="24"/>
          <w:szCs w:val="24"/>
        </w:rPr>
        <w:t>. [online] www.santander.com. Available at: https://www.santander.com/en/press-room/press-releases/2022/04/santander-confirms-its-financial-targets-for-2022-as-its-unique-diversification-provides-a-resilient-foundation-for-growth [Accessed 15 Jan. 2024].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Sarkar, C.B. and Locatelli, M. (2018). </w:t>
      </w:r>
      <w:r w:rsidRPr="00B57ED9">
        <w:rPr>
          <w:rFonts w:ascii="Times New Roman" w:hAnsi="Times New Roman" w:cs="Times New Roman"/>
          <w:bCs/>
          <w:i/>
          <w:iCs/>
          <w:sz w:val="24"/>
          <w:szCs w:val="24"/>
        </w:rPr>
        <w:t>A strategic integration between Agile and traditional project management approaches for a clear view on Project Closure in the Insurance industry : The Intesa Sanpaolo Life’s case study</w:t>
      </w:r>
      <w:r w:rsidRPr="00B57ED9">
        <w:rPr>
          <w:rFonts w:ascii="Times New Roman" w:hAnsi="Times New Roman" w:cs="Times New Roman"/>
          <w:bCs/>
          <w:sz w:val="24"/>
          <w:szCs w:val="24"/>
        </w:rPr>
        <w:t xml:space="preserve">. [online] </w:t>
      </w:r>
      <w:r w:rsidRPr="00B57ED9">
        <w:rPr>
          <w:rFonts w:ascii="Times New Roman" w:hAnsi="Times New Roman" w:cs="Times New Roman"/>
          <w:bCs/>
          <w:i/>
          <w:iCs/>
          <w:sz w:val="24"/>
          <w:szCs w:val="24"/>
        </w:rPr>
        <w:t>www.diva-portal.org</w:t>
      </w:r>
      <w:r w:rsidRPr="00B57ED9">
        <w:rPr>
          <w:rFonts w:ascii="Times New Roman" w:hAnsi="Times New Roman" w:cs="Times New Roman"/>
          <w:bCs/>
          <w:sz w:val="24"/>
          <w:szCs w:val="24"/>
        </w:rPr>
        <w:t>. Available at: https://www.diva-portal.org/smash/record.jsf?pid=diva2:1192965.</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Saunders (2007). </w:t>
      </w:r>
      <w:r w:rsidRPr="00B57ED9">
        <w:rPr>
          <w:rFonts w:ascii="Times New Roman" w:hAnsi="Times New Roman" w:cs="Times New Roman"/>
          <w:bCs/>
          <w:i/>
          <w:iCs/>
          <w:sz w:val="24"/>
          <w:szCs w:val="24"/>
        </w:rPr>
        <w:t>Research Methods for Business Students (7th Edition): 9781292016627: Economics Books @ Amazon.com</w:t>
      </w:r>
      <w:r w:rsidRPr="00B57ED9">
        <w:rPr>
          <w:rFonts w:ascii="Times New Roman" w:hAnsi="Times New Roman" w:cs="Times New Roman"/>
          <w:bCs/>
          <w:sz w:val="24"/>
          <w:szCs w:val="24"/>
        </w:rPr>
        <w:t>. [online] Amazon.com. Available at: https://www.amazon.com/Research-Methods-Business-Students-7th/dp/1292016620.</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lastRenderedPageBreak/>
        <w:t xml:space="preserve">Sheren, M., Ashton, C., Scott, M. and Allen, M. (2015). </w:t>
      </w:r>
      <w:r w:rsidRPr="00B57ED9">
        <w:rPr>
          <w:rFonts w:ascii="Times New Roman" w:hAnsi="Times New Roman" w:cs="Times New Roman"/>
          <w:bCs/>
          <w:i/>
          <w:iCs/>
          <w:sz w:val="24"/>
          <w:szCs w:val="24"/>
        </w:rPr>
        <w:t>I am grateful to Rhys Phillips and Iain de Weymarn for their assistance in preparing these remarks, and to Breaking the Tragedy of the Horizon -climate change and financial stability</w:t>
      </w:r>
      <w:r w:rsidRPr="00B57ED9">
        <w:rPr>
          <w:rFonts w:ascii="Times New Roman" w:hAnsi="Times New Roman" w:cs="Times New Roman"/>
          <w:bCs/>
          <w:sz w:val="24"/>
          <w:szCs w:val="24"/>
        </w:rPr>
        <w:t>. [online] Available at: https://www.bankofengland.co.uk/-/media/boe/files/speech/2015/breaking-the-tragedy-of-the-horizon-climate-change-and-financial-stability.pdf.</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Sierra-Garcia, L., Garcia-Benau, M.A. and Bollas-Araya, H.M. (2020). Empirical Analysis of Non-Financial Reporting by Spanish Companies. </w:t>
      </w:r>
      <w:r w:rsidRPr="00B57ED9">
        <w:rPr>
          <w:rFonts w:ascii="Times New Roman" w:hAnsi="Times New Roman" w:cs="Times New Roman"/>
          <w:bCs/>
          <w:i/>
          <w:iCs/>
          <w:sz w:val="24"/>
          <w:szCs w:val="24"/>
        </w:rPr>
        <w:t>Administrative Sciences</w:t>
      </w:r>
      <w:r w:rsidRPr="00B57ED9">
        <w:rPr>
          <w:rFonts w:ascii="Times New Roman" w:hAnsi="Times New Roman" w:cs="Times New Roman"/>
          <w:bCs/>
          <w:sz w:val="24"/>
          <w:szCs w:val="24"/>
        </w:rPr>
        <w:t>, 8(3), p.29. doi:https://doi.org/10.3390/admsci8030029.</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Singhania, M. and Saini, N. (2021). Institutional framework of ESG disclosures: comparative analysis of developed and developing countries. </w:t>
      </w:r>
      <w:r w:rsidRPr="00B57ED9">
        <w:rPr>
          <w:rFonts w:ascii="Times New Roman" w:hAnsi="Times New Roman" w:cs="Times New Roman"/>
          <w:bCs/>
          <w:i/>
          <w:iCs/>
          <w:sz w:val="24"/>
          <w:szCs w:val="24"/>
        </w:rPr>
        <w:t>Journal of Sustainable Finance &amp; Investment</w:t>
      </w:r>
      <w:r w:rsidRPr="00B57ED9">
        <w:rPr>
          <w:rFonts w:ascii="Times New Roman" w:hAnsi="Times New Roman" w:cs="Times New Roman"/>
          <w:bCs/>
          <w:sz w:val="24"/>
          <w:szCs w:val="24"/>
        </w:rPr>
        <w:t>, 13(1), pp.1–44. doi:https://doi.org/10.1080/20430795.2021.1964810.</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Sorrentino, G. (2023). </w:t>
      </w:r>
      <w:r w:rsidRPr="00B57ED9">
        <w:rPr>
          <w:rFonts w:ascii="Times New Roman" w:hAnsi="Times New Roman" w:cs="Times New Roman"/>
          <w:bCs/>
          <w:i/>
          <w:iCs/>
          <w:sz w:val="24"/>
          <w:szCs w:val="24"/>
        </w:rPr>
        <w:t>Asset management industry adapting to climate change : a case study on Nordea AM</w:t>
      </w:r>
      <w:r w:rsidRPr="00B57ED9">
        <w:rPr>
          <w:rFonts w:ascii="Times New Roman" w:hAnsi="Times New Roman" w:cs="Times New Roman"/>
          <w:bCs/>
          <w:sz w:val="24"/>
          <w:szCs w:val="24"/>
        </w:rPr>
        <w:t>. [online] repositorio.ucp.pt. Available at: https://repositorio.ucp.pt/handle/10400.14/41277.</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Sospeter, D. (2020). </w:t>
      </w:r>
      <w:r w:rsidRPr="00B57ED9">
        <w:rPr>
          <w:rFonts w:ascii="Times New Roman" w:hAnsi="Times New Roman" w:cs="Times New Roman"/>
          <w:bCs/>
          <w:i/>
          <w:iCs/>
          <w:sz w:val="24"/>
          <w:szCs w:val="24"/>
        </w:rPr>
        <w:t>(PDF) CHAPTER THREE RESEARCH METHODOLOGY 3.0 Introduction</w:t>
      </w:r>
      <w:r w:rsidRPr="00B57ED9">
        <w:rPr>
          <w:rFonts w:ascii="Times New Roman" w:hAnsi="Times New Roman" w:cs="Times New Roman"/>
          <w:bCs/>
          <w:sz w:val="24"/>
          <w:szCs w:val="24"/>
        </w:rPr>
        <w:t>. [online] ResearchGate. Available at: https://www.researchgate.net/publication/339042700_CHAPTER_THREE_RESEARCH_METHODOLOGY_30_Introduction.</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Sustainalytics (2022). </w:t>
      </w:r>
      <w:r w:rsidRPr="00B57ED9">
        <w:rPr>
          <w:rFonts w:ascii="Times New Roman" w:hAnsi="Times New Roman" w:cs="Times New Roman"/>
          <w:bCs/>
          <w:i/>
          <w:iCs/>
          <w:sz w:val="24"/>
          <w:szCs w:val="24"/>
        </w:rPr>
        <w:t>Company ESG Risk Ratings – Sustainalytics</w:t>
      </w:r>
      <w:r w:rsidRPr="00B57ED9">
        <w:rPr>
          <w:rFonts w:ascii="Times New Roman" w:hAnsi="Times New Roman" w:cs="Times New Roman"/>
          <w:bCs/>
          <w:sz w:val="24"/>
          <w:szCs w:val="24"/>
        </w:rPr>
        <w:t>. [online] www.sustainalytics.com. Available at: https://www.sustainalytics.com/esg-ratings.</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Tamimi, N. and Sebastianelli, R. (2017). Transparency among S&amp;P 500 companies: an analysis of ESG disclosure scores. </w:t>
      </w:r>
      <w:r w:rsidRPr="00B57ED9">
        <w:rPr>
          <w:rFonts w:ascii="Times New Roman" w:hAnsi="Times New Roman" w:cs="Times New Roman"/>
          <w:bCs/>
          <w:i/>
          <w:iCs/>
          <w:sz w:val="24"/>
          <w:szCs w:val="24"/>
        </w:rPr>
        <w:t>Management Decision</w:t>
      </w:r>
      <w:r w:rsidRPr="00B57ED9">
        <w:rPr>
          <w:rFonts w:ascii="Times New Roman" w:hAnsi="Times New Roman" w:cs="Times New Roman"/>
          <w:bCs/>
          <w:sz w:val="24"/>
          <w:szCs w:val="24"/>
        </w:rPr>
        <w:t>, 55(8), pp.1660–1680. doi:https://doi.org/10.1108/md-01-2017-0018.</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Tranfield, D., Denyer, D. and Smart, P. (2003). Towards a Methodology for Developing Evidence-Informed Management Knowledge by Means of Systematic Review. </w:t>
      </w:r>
      <w:r w:rsidRPr="00B57ED9">
        <w:rPr>
          <w:rFonts w:ascii="Times New Roman" w:hAnsi="Times New Roman" w:cs="Times New Roman"/>
          <w:bCs/>
          <w:i/>
          <w:iCs/>
          <w:sz w:val="24"/>
          <w:szCs w:val="24"/>
        </w:rPr>
        <w:t>British Journal of Management</w:t>
      </w:r>
      <w:r w:rsidRPr="00B57ED9">
        <w:rPr>
          <w:rFonts w:ascii="Times New Roman" w:hAnsi="Times New Roman" w:cs="Times New Roman"/>
          <w:bCs/>
          <w:sz w:val="24"/>
          <w:szCs w:val="24"/>
        </w:rPr>
        <w:t>, 14(3), pp.207–222. doi:https://doi.org/10.1111/1467-8551.00375.</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lastRenderedPageBreak/>
        <w:t xml:space="preserve">Verheyden, T., Eccles, R.G. and Feiner, A. (2016). ESG for All? The Impact of ESG Screening on Return, Risk, and Diversification. </w:t>
      </w:r>
      <w:r w:rsidRPr="00B57ED9">
        <w:rPr>
          <w:rFonts w:ascii="Times New Roman" w:hAnsi="Times New Roman" w:cs="Times New Roman"/>
          <w:bCs/>
          <w:i/>
          <w:iCs/>
          <w:sz w:val="24"/>
          <w:szCs w:val="24"/>
        </w:rPr>
        <w:t>Journal of Applied Corporate Finance</w:t>
      </w:r>
      <w:r w:rsidRPr="00B57ED9">
        <w:rPr>
          <w:rFonts w:ascii="Times New Roman" w:hAnsi="Times New Roman" w:cs="Times New Roman"/>
          <w:bCs/>
          <w:sz w:val="24"/>
          <w:szCs w:val="24"/>
        </w:rPr>
        <w:t>, [online] 28(2), pp.47–55. doi:https://doi.org/10.1111/jacf.12174.</w:t>
      </w:r>
    </w:p>
    <w:p w:rsidR="00B57ED9" w:rsidRPr="00B57ED9" w:rsidRDefault="00B57ED9" w:rsidP="00D13639">
      <w:pPr>
        <w:spacing w:line="360" w:lineRule="auto"/>
        <w:ind w:left="720" w:hanging="720"/>
        <w:jc w:val="both"/>
        <w:rPr>
          <w:rFonts w:ascii="Times New Roman" w:hAnsi="Times New Roman" w:cs="Times New Roman"/>
          <w:bCs/>
          <w:sz w:val="24"/>
          <w:szCs w:val="24"/>
        </w:rPr>
      </w:pPr>
      <w:r w:rsidRPr="00B57ED9">
        <w:rPr>
          <w:rFonts w:ascii="Times New Roman" w:hAnsi="Times New Roman" w:cs="Times New Roman"/>
          <w:bCs/>
          <w:sz w:val="24"/>
          <w:szCs w:val="24"/>
        </w:rPr>
        <w:t xml:space="preserve">Williams, O.F. (2004). The UN Global Compact: The Challenge and the Promise. </w:t>
      </w:r>
      <w:r w:rsidRPr="00B57ED9">
        <w:rPr>
          <w:rFonts w:ascii="Times New Roman" w:hAnsi="Times New Roman" w:cs="Times New Roman"/>
          <w:bCs/>
          <w:i/>
          <w:iCs/>
          <w:sz w:val="24"/>
          <w:szCs w:val="24"/>
        </w:rPr>
        <w:t>Business Ethics Quarterly</w:t>
      </w:r>
      <w:r w:rsidRPr="00B57ED9">
        <w:rPr>
          <w:rFonts w:ascii="Times New Roman" w:hAnsi="Times New Roman" w:cs="Times New Roman"/>
          <w:bCs/>
          <w:sz w:val="24"/>
          <w:szCs w:val="24"/>
        </w:rPr>
        <w:t>, 14(4), pp.755–774. doi:https://doi.org/10.5840/beq200414432.</w:t>
      </w:r>
    </w:p>
    <w:p w:rsidR="0020758F" w:rsidRPr="006D3A0F" w:rsidRDefault="0020758F" w:rsidP="00B27178">
      <w:pPr>
        <w:spacing w:line="360" w:lineRule="auto"/>
        <w:ind w:left="720" w:hanging="720"/>
        <w:jc w:val="both"/>
        <w:rPr>
          <w:rFonts w:ascii="Times New Roman" w:hAnsi="Times New Roman" w:cs="Times New Roman"/>
          <w:sz w:val="24"/>
          <w:szCs w:val="24"/>
        </w:rPr>
      </w:pPr>
    </w:p>
    <w:sectPr w:rsidR="0020758F" w:rsidRPr="006D3A0F" w:rsidSect="00B57ED9">
      <w:footerReference w:type="default" r:id="rId50"/>
      <w:pgSz w:w="12240" w:h="15840"/>
      <w:pgMar w:top="1440" w:right="1440" w:bottom="1440" w:left="1440" w:header="708" w:footer="708" w:gutter="0"/>
      <w:pgBorders w:display="notFirstPage" w:offsetFrom="page">
        <w:top w:val="single" w:sz="4" w:space="24" w:color="auto"/>
        <w:left w:val="single" w:sz="4" w:space="24" w:color="auto"/>
        <w:bottom w:val="single" w:sz="4" w:space="24" w:color="auto"/>
        <w:right w:val="single" w:sz="4" w:space="24" w:color="auto"/>
      </w:pgBorders>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51CA" w:rsidRDefault="004E51CA" w:rsidP="00776B98">
      <w:pPr>
        <w:spacing w:after="0" w:line="240" w:lineRule="auto"/>
      </w:pPr>
      <w:r>
        <w:separator/>
      </w:r>
    </w:p>
  </w:endnote>
  <w:endnote w:type="continuationSeparator" w:id="0">
    <w:p w:rsidR="004E51CA" w:rsidRDefault="004E51CA" w:rsidP="00776B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4978021"/>
      <w:docPartObj>
        <w:docPartGallery w:val="Page Numbers (Bottom of Page)"/>
        <w:docPartUnique/>
      </w:docPartObj>
    </w:sdtPr>
    <w:sdtEndPr>
      <w:rPr>
        <w:rFonts w:ascii="Times New Roman" w:hAnsi="Times New Roman" w:cs="Times New Roman"/>
        <w:color w:val="7F7F7F" w:themeColor="background1" w:themeShade="7F"/>
        <w:spacing w:val="60"/>
      </w:rPr>
    </w:sdtEndPr>
    <w:sdtContent>
      <w:p w:rsidR="0028176D" w:rsidRPr="00B57ED9" w:rsidRDefault="0028176D">
        <w:pPr>
          <w:pStyle w:val="Footer"/>
          <w:pBdr>
            <w:top w:val="single" w:sz="4" w:space="1" w:color="D9D9D9" w:themeColor="background1" w:themeShade="D9"/>
          </w:pBdr>
          <w:jc w:val="right"/>
          <w:rPr>
            <w:rFonts w:ascii="Times New Roman" w:hAnsi="Times New Roman" w:cs="Times New Roman"/>
          </w:rPr>
        </w:pPr>
        <w:r w:rsidRPr="00B57ED9">
          <w:rPr>
            <w:rFonts w:ascii="Times New Roman" w:hAnsi="Times New Roman" w:cs="Times New Roman"/>
          </w:rPr>
          <w:fldChar w:fldCharType="begin"/>
        </w:r>
        <w:r w:rsidRPr="00B57ED9">
          <w:rPr>
            <w:rFonts w:ascii="Times New Roman" w:hAnsi="Times New Roman" w:cs="Times New Roman"/>
          </w:rPr>
          <w:instrText xml:space="preserve"> PAGE   \* MERGEFORMAT </w:instrText>
        </w:r>
        <w:r w:rsidRPr="00B57ED9">
          <w:rPr>
            <w:rFonts w:ascii="Times New Roman" w:hAnsi="Times New Roman" w:cs="Times New Roman"/>
          </w:rPr>
          <w:fldChar w:fldCharType="separate"/>
        </w:r>
        <w:r w:rsidR="008927A3">
          <w:rPr>
            <w:rFonts w:ascii="Times New Roman" w:hAnsi="Times New Roman" w:cs="Times New Roman"/>
            <w:noProof/>
          </w:rPr>
          <w:t>7</w:t>
        </w:r>
        <w:r w:rsidRPr="00B57ED9">
          <w:rPr>
            <w:rFonts w:ascii="Times New Roman" w:hAnsi="Times New Roman" w:cs="Times New Roman"/>
            <w:noProof/>
          </w:rPr>
          <w:fldChar w:fldCharType="end"/>
        </w:r>
        <w:r w:rsidRPr="00B57ED9">
          <w:rPr>
            <w:rFonts w:ascii="Times New Roman" w:hAnsi="Times New Roman" w:cs="Times New Roman"/>
          </w:rPr>
          <w:t xml:space="preserve"> | </w:t>
        </w:r>
        <w:r w:rsidRPr="00B57ED9">
          <w:rPr>
            <w:rFonts w:ascii="Times New Roman" w:hAnsi="Times New Roman" w:cs="Times New Roman"/>
            <w:color w:val="7F7F7F" w:themeColor="background1" w:themeShade="7F"/>
            <w:spacing w:val="60"/>
          </w:rPr>
          <w:t>Page</w:t>
        </w:r>
      </w:p>
    </w:sdtContent>
  </w:sdt>
  <w:p w:rsidR="0028176D" w:rsidRDefault="0028176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51CA" w:rsidRDefault="004E51CA" w:rsidP="00776B98">
      <w:pPr>
        <w:spacing w:after="0" w:line="240" w:lineRule="auto"/>
      </w:pPr>
      <w:r>
        <w:separator/>
      </w:r>
    </w:p>
  </w:footnote>
  <w:footnote w:type="continuationSeparator" w:id="0">
    <w:p w:rsidR="004E51CA" w:rsidRDefault="004E51CA" w:rsidP="00776B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F9425B"/>
    <w:multiLevelType w:val="hybridMultilevel"/>
    <w:tmpl w:val="A7E237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FB872F4"/>
    <w:multiLevelType w:val="hybridMultilevel"/>
    <w:tmpl w:val="95B027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8762A6B"/>
    <w:multiLevelType w:val="hybridMultilevel"/>
    <w:tmpl w:val="1CAA28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EF12629"/>
    <w:multiLevelType w:val="hybridMultilevel"/>
    <w:tmpl w:val="4836C9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2CF1"/>
    <w:rsid w:val="00006C5C"/>
    <w:rsid w:val="00032C19"/>
    <w:rsid w:val="00035C7A"/>
    <w:rsid w:val="0006108C"/>
    <w:rsid w:val="00072E02"/>
    <w:rsid w:val="000A53B8"/>
    <w:rsid w:val="000C18B5"/>
    <w:rsid w:val="000C52B7"/>
    <w:rsid w:val="000F09FB"/>
    <w:rsid w:val="00112759"/>
    <w:rsid w:val="00134E6B"/>
    <w:rsid w:val="001816C6"/>
    <w:rsid w:val="0020133B"/>
    <w:rsid w:val="0020758F"/>
    <w:rsid w:val="00231ECA"/>
    <w:rsid w:val="0024740B"/>
    <w:rsid w:val="00261207"/>
    <w:rsid w:val="0028176D"/>
    <w:rsid w:val="002902C0"/>
    <w:rsid w:val="002C08F0"/>
    <w:rsid w:val="002E032D"/>
    <w:rsid w:val="003608AA"/>
    <w:rsid w:val="0036172F"/>
    <w:rsid w:val="003730E5"/>
    <w:rsid w:val="00397764"/>
    <w:rsid w:val="003B7BD2"/>
    <w:rsid w:val="003F1717"/>
    <w:rsid w:val="00411F1E"/>
    <w:rsid w:val="004460AC"/>
    <w:rsid w:val="00477479"/>
    <w:rsid w:val="00484AFF"/>
    <w:rsid w:val="00493216"/>
    <w:rsid w:val="004A6F3D"/>
    <w:rsid w:val="004B0C5E"/>
    <w:rsid w:val="004B6C53"/>
    <w:rsid w:val="004E22D1"/>
    <w:rsid w:val="004E50DB"/>
    <w:rsid w:val="004E51CA"/>
    <w:rsid w:val="00503F1A"/>
    <w:rsid w:val="00542641"/>
    <w:rsid w:val="00543033"/>
    <w:rsid w:val="005621F6"/>
    <w:rsid w:val="005B21F3"/>
    <w:rsid w:val="005C1445"/>
    <w:rsid w:val="005D47AE"/>
    <w:rsid w:val="005D4A54"/>
    <w:rsid w:val="005E0E46"/>
    <w:rsid w:val="00604AC6"/>
    <w:rsid w:val="00623495"/>
    <w:rsid w:val="00627C07"/>
    <w:rsid w:val="0066621A"/>
    <w:rsid w:val="0067128D"/>
    <w:rsid w:val="006A25FF"/>
    <w:rsid w:val="006B2CF1"/>
    <w:rsid w:val="006D3A0F"/>
    <w:rsid w:val="006E3E77"/>
    <w:rsid w:val="0074730C"/>
    <w:rsid w:val="00776B98"/>
    <w:rsid w:val="0078540E"/>
    <w:rsid w:val="007929E6"/>
    <w:rsid w:val="007D7671"/>
    <w:rsid w:val="008616B6"/>
    <w:rsid w:val="00883A35"/>
    <w:rsid w:val="008927A3"/>
    <w:rsid w:val="008A16E9"/>
    <w:rsid w:val="008B3FCF"/>
    <w:rsid w:val="00911538"/>
    <w:rsid w:val="00980BB7"/>
    <w:rsid w:val="009B2FDB"/>
    <w:rsid w:val="00A12AD5"/>
    <w:rsid w:val="00A12C3F"/>
    <w:rsid w:val="00A14002"/>
    <w:rsid w:val="00A157DB"/>
    <w:rsid w:val="00A40B34"/>
    <w:rsid w:val="00A532EC"/>
    <w:rsid w:val="00AA5BAA"/>
    <w:rsid w:val="00AD0FEB"/>
    <w:rsid w:val="00AF472F"/>
    <w:rsid w:val="00B166BE"/>
    <w:rsid w:val="00B27178"/>
    <w:rsid w:val="00B320BE"/>
    <w:rsid w:val="00B51E4F"/>
    <w:rsid w:val="00B57ED9"/>
    <w:rsid w:val="00B614C9"/>
    <w:rsid w:val="00B910FC"/>
    <w:rsid w:val="00BD3839"/>
    <w:rsid w:val="00BD71E1"/>
    <w:rsid w:val="00BE7D66"/>
    <w:rsid w:val="00C30366"/>
    <w:rsid w:val="00C9053A"/>
    <w:rsid w:val="00CA45C0"/>
    <w:rsid w:val="00CA652C"/>
    <w:rsid w:val="00CB317C"/>
    <w:rsid w:val="00CC267A"/>
    <w:rsid w:val="00CC2C10"/>
    <w:rsid w:val="00CE0795"/>
    <w:rsid w:val="00CF68A3"/>
    <w:rsid w:val="00D13639"/>
    <w:rsid w:val="00D8539D"/>
    <w:rsid w:val="00DC2E64"/>
    <w:rsid w:val="00DD3DEA"/>
    <w:rsid w:val="00DE0029"/>
    <w:rsid w:val="00E03EC8"/>
    <w:rsid w:val="00E0446F"/>
    <w:rsid w:val="00E21D19"/>
    <w:rsid w:val="00E2276C"/>
    <w:rsid w:val="00E27D53"/>
    <w:rsid w:val="00E57CC8"/>
    <w:rsid w:val="00E71D89"/>
    <w:rsid w:val="00E8063C"/>
    <w:rsid w:val="00EA625A"/>
    <w:rsid w:val="00F02689"/>
    <w:rsid w:val="00F63694"/>
    <w:rsid w:val="00F80847"/>
    <w:rsid w:val="00F83673"/>
    <w:rsid w:val="00F96344"/>
    <w:rsid w:val="00FB737F"/>
    <w:rsid w:val="00FC68BF"/>
    <w:rsid w:val="00FD13C0"/>
    <w:rsid w:val="00FD426E"/>
    <w:rsid w:val="00FD6FDA"/>
    <w:rsid w:val="00FE2A81"/>
    <w:rsid w:val="00FE3890"/>
    <w:rsid w:val="00FE4E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0332A0"/>
  <w15:chartTrackingRefBased/>
  <w15:docId w15:val="{3C40BFB1-02D8-4D59-BDA2-2597EF4C1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7ED9"/>
  </w:style>
  <w:style w:type="paragraph" w:styleId="Heading1">
    <w:name w:val="heading 1"/>
    <w:basedOn w:val="Normal"/>
    <w:next w:val="Normal"/>
    <w:link w:val="Heading1Char"/>
    <w:uiPriority w:val="9"/>
    <w:qFormat/>
    <w:rsid w:val="00A40B3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0133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0133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20133B"/>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032C19"/>
    <w:pPr>
      <w:spacing w:after="0" w:line="240" w:lineRule="auto"/>
    </w:pPr>
    <w:rPr>
      <w:rFonts w:eastAsiaTheme="minorEastAsia"/>
    </w:rPr>
  </w:style>
  <w:style w:type="character" w:customStyle="1" w:styleId="NoSpacingChar">
    <w:name w:val="No Spacing Char"/>
    <w:basedOn w:val="DefaultParagraphFont"/>
    <w:link w:val="NoSpacing"/>
    <w:uiPriority w:val="1"/>
    <w:rsid w:val="00032C19"/>
    <w:rPr>
      <w:rFonts w:eastAsiaTheme="minorEastAsia"/>
    </w:rPr>
  </w:style>
  <w:style w:type="table" w:styleId="TableGrid">
    <w:name w:val="Table Grid"/>
    <w:basedOn w:val="TableNormal"/>
    <w:uiPriority w:val="39"/>
    <w:rsid w:val="004460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4460AC"/>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ListParagraph">
    <w:name w:val="List Paragraph"/>
    <w:basedOn w:val="Normal"/>
    <w:uiPriority w:val="34"/>
    <w:qFormat/>
    <w:rsid w:val="004460AC"/>
    <w:pPr>
      <w:ind w:left="720"/>
      <w:contextualSpacing/>
    </w:pPr>
  </w:style>
  <w:style w:type="table" w:styleId="GridTable1Light">
    <w:name w:val="Grid Table 1 Light"/>
    <w:basedOn w:val="TableNormal"/>
    <w:uiPriority w:val="46"/>
    <w:rsid w:val="004460A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1Char">
    <w:name w:val="Heading 1 Char"/>
    <w:basedOn w:val="DefaultParagraphFont"/>
    <w:link w:val="Heading1"/>
    <w:uiPriority w:val="9"/>
    <w:rsid w:val="00A40B34"/>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20133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0133B"/>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20133B"/>
    <w:rPr>
      <w:rFonts w:asciiTheme="majorHAnsi" w:eastAsiaTheme="majorEastAsia" w:hAnsiTheme="majorHAnsi" w:cstheme="majorBidi"/>
      <w:i/>
      <w:iCs/>
      <w:color w:val="2E74B5" w:themeColor="accent1" w:themeShade="BF"/>
    </w:rPr>
  </w:style>
  <w:style w:type="paragraph" w:styleId="Caption">
    <w:name w:val="caption"/>
    <w:basedOn w:val="Normal"/>
    <w:next w:val="Normal"/>
    <w:uiPriority w:val="35"/>
    <w:unhideWhenUsed/>
    <w:qFormat/>
    <w:rsid w:val="00B320BE"/>
    <w:pPr>
      <w:spacing w:after="200" w:line="240" w:lineRule="auto"/>
    </w:pPr>
    <w:rPr>
      <w:i/>
      <w:iCs/>
      <w:color w:val="44546A" w:themeColor="text2"/>
      <w:sz w:val="18"/>
      <w:szCs w:val="18"/>
    </w:rPr>
  </w:style>
  <w:style w:type="paragraph" w:styleId="Header">
    <w:name w:val="header"/>
    <w:basedOn w:val="Normal"/>
    <w:link w:val="HeaderChar"/>
    <w:uiPriority w:val="99"/>
    <w:unhideWhenUsed/>
    <w:rsid w:val="00776B9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6B98"/>
  </w:style>
  <w:style w:type="paragraph" w:styleId="Footer">
    <w:name w:val="footer"/>
    <w:basedOn w:val="Normal"/>
    <w:link w:val="FooterChar"/>
    <w:uiPriority w:val="99"/>
    <w:unhideWhenUsed/>
    <w:rsid w:val="00776B9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6B98"/>
  </w:style>
  <w:style w:type="table" w:customStyle="1" w:styleId="TableGrid1">
    <w:name w:val="Table Grid1"/>
    <w:basedOn w:val="TableNormal"/>
    <w:next w:val="TableGrid"/>
    <w:uiPriority w:val="39"/>
    <w:rsid w:val="00B57E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8A16E9"/>
    <w:pPr>
      <w:tabs>
        <w:tab w:val="right" w:leader="dot" w:pos="9350"/>
      </w:tabs>
      <w:spacing w:after="100" w:line="360" w:lineRule="auto"/>
      <w:jc w:val="both"/>
    </w:pPr>
    <w:rPr>
      <w:rFonts w:ascii="Times New Roman" w:hAnsi="Times New Roman" w:cs="Times New Roman"/>
      <w:b/>
      <w:sz w:val="24"/>
      <w:szCs w:val="24"/>
    </w:rPr>
  </w:style>
  <w:style w:type="paragraph" w:styleId="TOC2">
    <w:name w:val="toc 2"/>
    <w:basedOn w:val="Normal"/>
    <w:next w:val="Normal"/>
    <w:autoRedefine/>
    <w:uiPriority w:val="39"/>
    <w:unhideWhenUsed/>
    <w:rsid w:val="008A16E9"/>
    <w:pPr>
      <w:spacing w:after="100"/>
      <w:ind w:left="220"/>
    </w:pPr>
  </w:style>
  <w:style w:type="paragraph" w:styleId="TOC3">
    <w:name w:val="toc 3"/>
    <w:basedOn w:val="Normal"/>
    <w:next w:val="Normal"/>
    <w:autoRedefine/>
    <w:uiPriority w:val="39"/>
    <w:unhideWhenUsed/>
    <w:rsid w:val="008A16E9"/>
    <w:pPr>
      <w:spacing w:after="100"/>
      <w:ind w:left="440"/>
    </w:pPr>
  </w:style>
  <w:style w:type="paragraph" w:styleId="TOC4">
    <w:name w:val="toc 4"/>
    <w:basedOn w:val="Normal"/>
    <w:next w:val="Normal"/>
    <w:autoRedefine/>
    <w:uiPriority w:val="39"/>
    <w:unhideWhenUsed/>
    <w:rsid w:val="008A16E9"/>
    <w:pPr>
      <w:spacing w:after="100"/>
      <w:ind w:left="660"/>
    </w:pPr>
  </w:style>
  <w:style w:type="paragraph" w:styleId="TOC5">
    <w:name w:val="toc 5"/>
    <w:basedOn w:val="Normal"/>
    <w:next w:val="Normal"/>
    <w:autoRedefine/>
    <w:uiPriority w:val="39"/>
    <w:unhideWhenUsed/>
    <w:rsid w:val="008A16E9"/>
    <w:pPr>
      <w:spacing w:after="100"/>
      <w:ind w:left="880"/>
    </w:pPr>
    <w:rPr>
      <w:rFonts w:eastAsiaTheme="minorEastAsia"/>
    </w:rPr>
  </w:style>
  <w:style w:type="paragraph" w:styleId="TOC6">
    <w:name w:val="toc 6"/>
    <w:basedOn w:val="Normal"/>
    <w:next w:val="Normal"/>
    <w:autoRedefine/>
    <w:uiPriority w:val="39"/>
    <w:unhideWhenUsed/>
    <w:rsid w:val="008A16E9"/>
    <w:pPr>
      <w:spacing w:after="100"/>
      <w:ind w:left="1100"/>
    </w:pPr>
    <w:rPr>
      <w:rFonts w:eastAsiaTheme="minorEastAsia"/>
    </w:rPr>
  </w:style>
  <w:style w:type="paragraph" w:styleId="TOC7">
    <w:name w:val="toc 7"/>
    <w:basedOn w:val="Normal"/>
    <w:next w:val="Normal"/>
    <w:autoRedefine/>
    <w:uiPriority w:val="39"/>
    <w:unhideWhenUsed/>
    <w:rsid w:val="008A16E9"/>
    <w:pPr>
      <w:spacing w:after="100"/>
      <w:ind w:left="1320"/>
    </w:pPr>
    <w:rPr>
      <w:rFonts w:eastAsiaTheme="minorEastAsia"/>
    </w:rPr>
  </w:style>
  <w:style w:type="paragraph" w:styleId="TOC8">
    <w:name w:val="toc 8"/>
    <w:basedOn w:val="Normal"/>
    <w:next w:val="Normal"/>
    <w:autoRedefine/>
    <w:uiPriority w:val="39"/>
    <w:unhideWhenUsed/>
    <w:rsid w:val="008A16E9"/>
    <w:pPr>
      <w:spacing w:after="100"/>
      <w:ind w:left="1540"/>
    </w:pPr>
    <w:rPr>
      <w:rFonts w:eastAsiaTheme="minorEastAsia"/>
    </w:rPr>
  </w:style>
  <w:style w:type="paragraph" w:styleId="TOC9">
    <w:name w:val="toc 9"/>
    <w:basedOn w:val="Normal"/>
    <w:next w:val="Normal"/>
    <w:autoRedefine/>
    <w:uiPriority w:val="39"/>
    <w:unhideWhenUsed/>
    <w:rsid w:val="008A16E9"/>
    <w:pPr>
      <w:spacing w:after="100"/>
      <w:ind w:left="1760"/>
    </w:pPr>
    <w:rPr>
      <w:rFonts w:eastAsiaTheme="minorEastAsia"/>
    </w:rPr>
  </w:style>
  <w:style w:type="character" w:styleId="Hyperlink">
    <w:name w:val="Hyperlink"/>
    <w:basedOn w:val="DefaultParagraphFont"/>
    <w:uiPriority w:val="99"/>
    <w:unhideWhenUsed/>
    <w:rsid w:val="008A16E9"/>
    <w:rPr>
      <w:color w:val="0563C1" w:themeColor="hyperlink"/>
      <w:u w:val="single"/>
    </w:rPr>
  </w:style>
  <w:style w:type="paragraph" w:styleId="TOCHeading">
    <w:name w:val="TOC Heading"/>
    <w:basedOn w:val="Heading1"/>
    <w:next w:val="Normal"/>
    <w:uiPriority w:val="39"/>
    <w:unhideWhenUsed/>
    <w:qFormat/>
    <w:rsid w:val="008A16E9"/>
    <w:pPr>
      <w:outlineLvl w:val="9"/>
    </w:pPr>
  </w:style>
  <w:style w:type="paragraph" w:styleId="TableofFigures">
    <w:name w:val="table of figures"/>
    <w:basedOn w:val="Normal"/>
    <w:next w:val="Normal"/>
    <w:uiPriority w:val="99"/>
    <w:unhideWhenUsed/>
    <w:rsid w:val="00493216"/>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503899">
      <w:bodyDiv w:val="1"/>
      <w:marLeft w:val="0"/>
      <w:marRight w:val="0"/>
      <w:marTop w:val="0"/>
      <w:marBottom w:val="0"/>
      <w:divBdr>
        <w:top w:val="none" w:sz="0" w:space="0" w:color="auto"/>
        <w:left w:val="none" w:sz="0" w:space="0" w:color="auto"/>
        <w:bottom w:val="none" w:sz="0" w:space="0" w:color="auto"/>
        <w:right w:val="none" w:sz="0" w:space="0" w:color="auto"/>
      </w:divBdr>
      <w:divsChild>
        <w:div w:id="150413898">
          <w:marLeft w:val="0"/>
          <w:marRight w:val="0"/>
          <w:marTop w:val="0"/>
          <w:marBottom w:val="0"/>
          <w:divBdr>
            <w:top w:val="none" w:sz="0" w:space="0" w:color="auto"/>
            <w:left w:val="none" w:sz="0" w:space="0" w:color="auto"/>
            <w:bottom w:val="none" w:sz="0" w:space="0" w:color="auto"/>
            <w:right w:val="none" w:sz="0" w:space="0" w:color="auto"/>
          </w:divBdr>
        </w:div>
      </w:divsChild>
    </w:div>
    <w:div w:id="1455365642">
      <w:bodyDiv w:val="1"/>
      <w:marLeft w:val="0"/>
      <w:marRight w:val="0"/>
      <w:marTop w:val="0"/>
      <w:marBottom w:val="0"/>
      <w:divBdr>
        <w:top w:val="none" w:sz="0" w:space="0" w:color="auto"/>
        <w:left w:val="none" w:sz="0" w:space="0" w:color="auto"/>
        <w:bottom w:val="none" w:sz="0" w:space="0" w:color="auto"/>
        <w:right w:val="none" w:sz="0" w:space="0" w:color="auto"/>
      </w:divBdr>
      <w:divsChild>
        <w:div w:id="1338507369">
          <w:marLeft w:val="0"/>
          <w:marRight w:val="0"/>
          <w:marTop w:val="0"/>
          <w:marBottom w:val="0"/>
          <w:divBdr>
            <w:top w:val="none" w:sz="0" w:space="0" w:color="auto"/>
            <w:left w:val="none" w:sz="0" w:space="0" w:color="auto"/>
            <w:bottom w:val="none" w:sz="0" w:space="0" w:color="auto"/>
            <w:right w:val="none" w:sz="0" w:space="0" w:color="auto"/>
          </w:divBdr>
        </w:div>
      </w:divsChild>
    </w:div>
    <w:div w:id="1827014485">
      <w:bodyDiv w:val="1"/>
      <w:marLeft w:val="0"/>
      <w:marRight w:val="0"/>
      <w:marTop w:val="0"/>
      <w:marBottom w:val="0"/>
      <w:divBdr>
        <w:top w:val="none" w:sz="0" w:space="0" w:color="auto"/>
        <w:left w:val="none" w:sz="0" w:space="0" w:color="auto"/>
        <w:bottom w:val="none" w:sz="0" w:space="0" w:color="auto"/>
        <w:right w:val="none" w:sz="0" w:space="0" w:color="auto"/>
      </w:divBdr>
      <w:divsChild>
        <w:div w:id="1035041166">
          <w:marLeft w:val="0"/>
          <w:marRight w:val="0"/>
          <w:marTop w:val="0"/>
          <w:marBottom w:val="0"/>
          <w:divBdr>
            <w:top w:val="none" w:sz="0" w:space="0" w:color="auto"/>
            <w:left w:val="none" w:sz="0" w:space="0" w:color="auto"/>
            <w:bottom w:val="none" w:sz="0" w:space="0" w:color="auto"/>
            <w:right w:val="none" w:sz="0" w:space="0" w:color="auto"/>
          </w:divBdr>
        </w:div>
      </w:divsChild>
    </w:div>
    <w:div w:id="1889343838">
      <w:bodyDiv w:val="1"/>
      <w:marLeft w:val="0"/>
      <w:marRight w:val="0"/>
      <w:marTop w:val="0"/>
      <w:marBottom w:val="0"/>
      <w:divBdr>
        <w:top w:val="none" w:sz="0" w:space="0" w:color="auto"/>
        <w:left w:val="none" w:sz="0" w:space="0" w:color="auto"/>
        <w:bottom w:val="none" w:sz="0" w:space="0" w:color="auto"/>
        <w:right w:val="none" w:sz="0" w:space="0" w:color="auto"/>
      </w:divBdr>
      <w:divsChild>
        <w:div w:id="61297045">
          <w:marLeft w:val="0"/>
          <w:marRight w:val="0"/>
          <w:marTop w:val="0"/>
          <w:marBottom w:val="0"/>
          <w:divBdr>
            <w:top w:val="none" w:sz="0" w:space="0" w:color="auto"/>
            <w:left w:val="none" w:sz="0" w:space="0" w:color="auto"/>
            <w:bottom w:val="none" w:sz="0" w:space="0" w:color="auto"/>
            <w:right w:val="none" w:sz="0" w:space="0" w:color="auto"/>
          </w:divBdr>
        </w:div>
      </w:divsChild>
    </w:div>
    <w:div w:id="1956986027">
      <w:bodyDiv w:val="1"/>
      <w:marLeft w:val="0"/>
      <w:marRight w:val="0"/>
      <w:marTop w:val="0"/>
      <w:marBottom w:val="0"/>
      <w:divBdr>
        <w:top w:val="none" w:sz="0" w:space="0" w:color="auto"/>
        <w:left w:val="none" w:sz="0" w:space="0" w:color="auto"/>
        <w:bottom w:val="none" w:sz="0" w:space="0" w:color="auto"/>
        <w:right w:val="none" w:sz="0" w:space="0" w:color="auto"/>
      </w:divBdr>
      <w:divsChild>
        <w:div w:id="6150651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admin\Downloads\Thesis.docx" TargetMode="External"/><Relationship Id="rId18" Type="http://schemas.openxmlformats.org/officeDocument/2006/relationships/image" Target="media/image2.png"/><Relationship Id="rId26" Type="http://schemas.openxmlformats.org/officeDocument/2006/relationships/chart" Target="charts/chart1.xml"/><Relationship Id="rId39" Type="http://schemas.openxmlformats.org/officeDocument/2006/relationships/chart" Target="charts/chart4.xml"/><Relationship Id="rId21" Type="http://schemas.microsoft.com/office/2007/relationships/hdphoto" Target="media/hdphoto3.wdp"/><Relationship Id="rId34" Type="http://schemas.openxmlformats.org/officeDocument/2006/relationships/image" Target="media/image10.png"/><Relationship Id="rId42" Type="http://schemas.openxmlformats.org/officeDocument/2006/relationships/image" Target="media/image15.png"/><Relationship Id="rId47" Type="http://schemas.openxmlformats.org/officeDocument/2006/relationships/image" Target="media/image18.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image" Target="media/image8.png"/><Relationship Id="rId11" Type="http://schemas.openxmlformats.org/officeDocument/2006/relationships/hyperlink" Target="file:///C:\Users\admin\Downloads\Thesis.docx" TargetMode="External"/><Relationship Id="rId24" Type="http://schemas.microsoft.com/office/2007/relationships/hdphoto" Target="media/hdphoto4.wdp"/><Relationship Id="rId32" Type="http://schemas.openxmlformats.org/officeDocument/2006/relationships/image" Target="media/image9.jpeg"/><Relationship Id="rId37" Type="http://schemas.openxmlformats.org/officeDocument/2006/relationships/image" Target="media/image12.jpeg"/><Relationship Id="rId40" Type="http://schemas.openxmlformats.org/officeDocument/2006/relationships/image" Target="media/image14.png"/><Relationship Id="rId45" Type="http://schemas.openxmlformats.org/officeDocument/2006/relationships/image" Target="media/image17.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file:///C:\Users\admin\Downloads\Thesis.docx" TargetMode="External"/><Relationship Id="rId19" Type="http://schemas.microsoft.com/office/2007/relationships/hdphoto" Target="media/hdphoto2.wdp"/><Relationship Id="rId31" Type="http://schemas.openxmlformats.org/officeDocument/2006/relationships/chart" Target="charts/chart2.xml"/><Relationship Id="rId44" Type="http://schemas.openxmlformats.org/officeDocument/2006/relationships/image" Target="media/image16.png"/><Relationship Id="rId52"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yperlink" Target="file:///C:\Users\admin\Downloads\Thesis.docx" TargetMode="External"/><Relationship Id="rId14" Type="http://schemas.openxmlformats.org/officeDocument/2006/relationships/hyperlink" Target="file:///C:\Users\admin\Downloads\Thesis.docx" TargetMode="External"/><Relationship Id="rId22" Type="http://schemas.openxmlformats.org/officeDocument/2006/relationships/image" Target="media/image4.png"/><Relationship Id="rId27" Type="http://schemas.openxmlformats.org/officeDocument/2006/relationships/image" Target="media/image7.png"/><Relationship Id="rId30" Type="http://schemas.microsoft.com/office/2007/relationships/hdphoto" Target="media/hdphoto6.wdp"/><Relationship Id="rId35" Type="http://schemas.microsoft.com/office/2007/relationships/hdphoto" Target="media/hdphoto7.wdp"/><Relationship Id="rId43" Type="http://schemas.microsoft.com/office/2007/relationships/hdphoto" Target="media/hdphoto8.wdp"/><Relationship Id="rId48" Type="http://schemas.openxmlformats.org/officeDocument/2006/relationships/image" Target="media/image19.png"/><Relationship Id="rId8" Type="http://schemas.openxmlformats.org/officeDocument/2006/relationships/hyperlink" Target="file:///C:\Users\admin\Downloads\Thesis.docx"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file:///C:\Users\admin\Downloads\Thesis.docx" TargetMode="External"/><Relationship Id="rId17" Type="http://schemas.microsoft.com/office/2007/relationships/hdphoto" Target="media/hdphoto1.wdp"/><Relationship Id="rId25" Type="http://schemas.openxmlformats.org/officeDocument/2006/relationships/image" Target="media/image6.jpeg"/><Relationship Id="rId33" Type="http://schemas.openxmlformats.org/officeDocument/2006/relationships/chart" Target="charts/chart3.xml"/><Relationship Id="rId38" Type="http://schemas.openxmlformats.org/officeDocument/2006/relationships/image" Target="media/image13.png"/><Relationship Id="rId46" Type="http://schemas.microsoft.com/office/2007/relationships/hdphoto" Target="media/hdphoto9.wdp"/><Relationship Id="rId20" Type="http://schemas.openxmlformats.org/officeDocument/2006/relationships/image" Target="media/image3.png"/><Relationship Id="rId41"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admin\Downloads\Thesis.docx" TargetMode="External"/><Relationship Id="rId23" Type="http://schemas.openxmlformats.org/officeDocument/2006/relationships/image" Target="media/image5.png"/><Relationship Id="rId28" Type="http://schemas.microsoft.com/office/2007/relationships/hdphoto" Target="media/hdphoto5.wdp"/><Relationship Id="rId36" Type="http://schemas.openxmlformats.org/officeDocument/2006/relationships/image" Target="media/image11.png"/><Relationship Id="rId49" Type="http://schemas.microsoft.com/office/2007/relationships/hdphoto" Target="media/hdphoto10.wdp"/></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Book2"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Book2"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Book2"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Book2"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Investment Portfolio (since 31 Dec. 2021)</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barChart>
        <c:barDir val="bar"/>
        <c:grouping val="clustered"/>
        <c:varyColors val="0"/>
        <c:ser>
          <c:idx val="0"/>
          <c:order val="0"/>
          <c:tx>
            <c:strRef>
              <c:f>Sheet1!$C$3</c:f>
              <c:strCache>
                <c:ptCount val="1"/>
                <c:pt idx="0">
                  <c:v>€ mln</c:v>
                </c:pt>
              </c:strCache>
            </c:strRef>
          </c:tx>
          <c:spPr>
            <a:solidFill>
              <a:schemeClr val="accent1"/>
            </a:solidFill>
            <a:ln>
              <a:noFill/>
            </a:ln>
            <a:effectLst/>
          </c:spPr>
          <c:invertIfNegative val="0"/>
          <c:cat>
            <c:strRef>
              <c:f>Sheet1!$B$4:$B$6</c:f>
              <c:strCache>
                <c:ptCount val="3"/>
                <c:pt idx="0">
                  <c:v>Renewable Energy &amp; Energy efficiency</c:v>
                </c:pt>
                <c:pt idx="1">
                  <c:v>Green Buildings</c:v>
                </c:pt>
                <c:pt idx="2">
                  <c:v>Circular Economy</c:v>
                </c:pt>
              </c:strCache>
            </c:strRef>
          </c:cat>
          <c:val>
            <c:numRef>
              <c:f>Sheet1!$C$4:$C$6</c:f>
              <c:numCache>
                <c:formatCode>#,##0</c:formatCode>
                <c:ptCount val="3"/>
                <c:pt idx="0" formatCode="General">
                  <c:v>821</c:v>
                </c:pt>
                <c:pt idx="1">
                  <c:v>1862</c:v>
                </c:pt>
                <c:pt idx="2" formatCode="General">
                  <c:v>549</c:v>
                </c:pt>
              </c:numCache>
            </c:numRef>
          </c:val>
          <c:extLst>
            <c:ext xmlns:c16="http://schemas.microsoft.com/office/drawing/2014/chart" uri="{C3380CC4-5D6E-409C-BE32-E72D297353CC}">
              <c16:uniqueId val="{00000000-02E8-4501-9165-5F2878A18798}"/>
            </c:ext>
          </c:extLst>
        </c:ser>
        <c:dLbls>
          <c:showLegendKey val="0"/>
          <c:showVal val="0"/>
          <c:showCatName val="0"/>
          <c:showSerName val="0"/>
          <c:showPercent val="0"/>
          <c:showBubbleSize val="0"/>
        </c:dLbls>
        <c:gapWidth val="247"/>
        <c:axId val="1460863407"/>
        <c:axId val="1460860079"/>
      </c:barChart>
      <c:catAx>
        <c:axId val="1460863407"/>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1460860079"/>
        <c:crosses val="autoZero"/>
        <c:auto val="1"/>
        <c:lblAlgn val="ctr"/>
        <c:lblOffset val="100"/>
        <c:noMultiLvlLbl val="0"/>
      </c:catAx>
      <c:valAx>
        <c:axId val="1460860079"/>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460863407"/>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Weighted Average Carbon Intensity</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barChart>
        <c:barDir val="col"/>
        <c:grouping val="clustered"/>
        <c:varyColors val="0"/>
        <c:ser>
          <c:idx val="0"/>
          <c:order val="0"/>
          <c:tx>
            <c:strRef>
              <c:f>Sheet1!$A$2</c:f>
              <c:strCache>
                <c:ptCount val="1"/>
                <c:pt idx="0">
                  <c:v>Listed equity </c:v>
                </c:pt>
              </c:strCache>
            </c:strRef>
          </c:tx>
          <c:spPr>
            <a:solidFill>
              <a:schemeClr val="accent1"/>
            </a:solidFill>
            <a:ln>
              <a:noFill/>
            </a:ln>
            <a:effectLst/>
          </c:spPr>
          <c:invertIfNegative val="0"/>
          <c:cat>
            <c:numRef>
              <c:f>Sheet1!$B$1:$E$1</c:f>
              <c:numCache>
                <c:formatCode>General</c:formatCode>
                <c:ptCount val="4"/>
                <c:pt idx="0">
                  <c:v>2019</c:v>
                </c:pt>
                <c:pt idx="1">
                  <c:v>2020</c:v>
                </c:pt>
                <c:pt idx="2">
                  <c:v>2021</c:v>
                </c:pt>
                <c:pt idx="3">
                  <c:v>2022</c:v>
                </c:pt>
              </c:numCache>
            </c:numRef>
          </c:cat>
          <c:val>
            <c:numRef>
              <c:f>Sheet1!$B$2:$E$2</c:f>
              <c:numCache>
                <c:formatCode>General</c:formatCode>
                <c:ptCount val="4"/>
                <c:pt idx="0">
                  <c:v>169</c:v>
                </c:pt>
                <c:pt idx="1">
                  <c:v>127</c:v>
                </c:pt>
                <c:pt idx="2">
                  <c:v>130</c:v>
                </c:pt>
                <c:pt idx="3">
                  <c:v>135</c:v>
                </c:pt>
              </c:numCache>
            </c:numRef>
          </c:val>
          <c:extLst>
            <c:ext xmlns:c16="http://schemas.microsoft.com/office/drawing/2014/chart" uri="{C3380CC4-5D6E-409C-BE32-E72D297353CC}">
              <c16:uniqueId val="{00000000-78EA-4759-9683-7A1E0F851F0A}"/>
            </c:ext>
          </c:extLst>
        </c:ser>
        <c:ser>
          <c:idx val="1"/>
          <c:order val="1"/>
          <c:tx>
            <c:strRef>
              <c:f>Sheet1!$A$3</c:f>
              <c:strCache>
                <c:ptCount val="1"/>
                <c:pt idx="0">
                  <c:v>Corporate bonds</c:v>
                </c:pt>
              </c:strCache>
            </c:strRef>
          </c:tx>
          <c:spPr>
            <a:solidFill>
              <a:schemeClr val="accent2"/>
            </a:solidFill>
            <a:ln>
              <a:noFill/>
            </a:ln>
            <a:effectLst/>
          </c:spPr>
          <c:invertIfNegative val="0"/>
          <c:cat>
            <c:numRef>
              <c:f>Sheet1!$B$1:$E$1</c:f>
              <c:numCache>
                <c:formatCode>General</c:formatCode>
                <c:ptCount val="4"/>
                <c:pt idx="0">
                  <c:v>2019</c:v>
                </c:pt>
                <c:pt idx="1">
                  <c:v>2020</c:v>
                </c:pt>
                <c:pt idx="2">
                  <c:v>2021</c:v>
                </c:pt>
                <c:pt idx="3">
                  <c:v>2022</c:v>
                </c:pt>
              </c:numCache>
            </c:numRef>
          </c:cat>
          <c:val>
            <c:numRef>
              <c:f>Sheet1!$B$3:$E$3</c:f>
              <c:numCache>
                <c:formatCode>General</c:formatCode>
                <c:ptCount val="4"/>
                <c:pt idx="0">
                  <c:v>97</c:v>
                </c:pt>
                <c:pt idx="1">
                  <c:v>73</c:v>
                </c:pt>
                <c:pt idx="2">
                  <c:v>60</c:v>
                </c:pt>
                <c:pt idx="3">
                  <c:v>60</c:v>
                </c:pt>
              </c:numCache>
            </c:numRef>
          </c:val>
          <c:extLst>
            <c:ext xmlns:c16="http://schemas.microsoft.com/office/drawing/2014/chart" uri="{C3380CC4-5D6E-409C-BE32-E72D297353CC}">
              <c16:uniqueId val="{00000001-78EA-4759-9683-7A1E0F851F0A}"/>
            </c:ext>
          </c:extLst>
        </c:ser>
        <c:dLbls>
          <c:showLegendKey val="0"/>
          <c:showVal val="0"/>
          <c:showCatName val="0"/>
          <c:showSerName val="0"/>
          <c:showPercent val="0"/>
          <c:showBubbleSize val="0"/>
        </c:dLbls>
        <c:gapWidth val="267"/>
        <c:overlap val="-43"/>
        <c:axId val="466349487"/>
        <c:axId val="466350735"/>
      </c:barChart>
      <c:catAx>
        <c:axId val="466349487"/>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466350735"/>
        <c:crosses val="autoZero"/>
        <c:auto val="1"/>
        <c:lblAlgn val="ctr"/>
        <c:lblOffset val="100"/>
        <c:noMultiLvlLbl val="0"/>
      </c:catAx>
      <c:valAx>
        <c:axId val="466350735"/>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US"/>
                  <a:t>CO2e/Million EUR revenue</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466349487"/>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Financed emissions</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barChart>
        <c:barDir val="bar"/>
        <c:grouping val="clustered"/>
        <c:varyColors val="0"/>
        <c:ser>
          <c:idx val="0"/>
          <c:order val="0"/>
          <c:tx>
            <c:strRef>
              <c:f>Sheet1!$B$8</c:f>
              <c:strCache>
                <c:ptCount val="1"/>
                <c:pt idx="0">
                  <c:v>Economic
emission
intensity in
 t CO2e/€ mln</c:v>
                </c:pt>
              </c:strCache>
            </c:strRef>
          </c:tx>
          <c:spPr>
            <a:solidFill>
              <a:schemeClr val="accent1"/>
            </a:solidFill>
            <a:ln>
              <a:noFill/>
            </a:ln>
            <a:effectLst/>
          </c:spPr>
          <c:invertIfNegative val="0"/>
          <c:cat>
            <c:strRef>
              <c:f>Sheet1!$A$9:$A$12</c:f>
              <c:strCache>
                <c:ptCount val="4"/>
                <c:pt idx="0">
                  <c:v>Residential Real Estate
(Mortgages)</c:v>
                </c:pt>
                <c:pt idx="1">
                  <c:v>Commercial Real Estate</c:v>
                </c:pt>
                <c:pt idx="2">
                  <c:v>Business Loans –
Wholesale banking</c:v>
                </c:pt>
                <c:pt idx="3">
                  <c:v>Business Loans –
Retail banking</c:v>
                </c:pt>
              </c:strCache>
            </c:strRef>
          </c:cat>
          <c:val>
            <c:numRef>
              <c:f>Sheet1!$B$9:$B$12</c:f>
              <c:numCache>
                <c:formatCode>General</c:formatCode>
                <c:ptCount val="4"/>
                <c:pt idx="0">
                  <c:v>24</c:v>
                </c:pt>
                <c:pt idx="1">
                  <c:v>0</c:v>
                </c:pt>
                <c:pt idx="2">
                  <c:v>142</c:v>
                </c:pt>
                <c:pt idx="3">
                  <c:v>124</c:v>
                </c:pt>
              </c:numCache>
            </c:numRef>
          </c:val>
          <c:extLst>
            <c:ext xmlns:c16="http://schemas.microsoft.com/office/drawing/2014/chart" uri="{C3380CC4-5D6E-409C-BE32-E72D297353CC}">
              <c16:uniqueId val="{00000000-0B85-4292-915A-261C7C90B7FB}"/>
            </c:ext>
          </c:extLst>
        </c:ser>
        <c:dLbls>
          <c:showLegendKey val="0"/>
          <c:showVal val="0"/>
          <c:showCatName val="0"/>
          <c:showSerName val="0"/>
          <c:showPercent val="0"/>
          <c:showBubbleSize val="0"/>
        </c:dLbls>
        <c:gapWidth val="247"/>
        <c:axId val="1206650095"/>
        <c:axId val="474722351"/>
      </c:barChart>
      <c:catAx>
        <c:axId val="1206650095"/>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US"/>
                  <a:t>Sector</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474722351"/>
        <c:crosses val="autoZero"/>
        <c:auto val="1"/>
        <c:lblAlgn val="ctr"/>
        <c:lblOffset val="100"/>
        <c:noMultiLvlLbl val="0"/>
      </c:catAx>
      <c:valAx>
        <c:axId val="474722351"/>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US"/>
                  <a:t>Economic emission intensity in t CO2e/€ mln</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206650095"/>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ESG contribution</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barChart>
        <c:barDir val="bar"/>
        <c:grouping val="clustered"/>
        <c:varyColors val="0"/>
        <c:ser>
          <c:idx val="0"/>
          <c:order val="0"/>
          <c:tx>
            <c:strRef>
              <c:f>Sheet1!$B$30</c:f>
              <c:strCache>
                <c:ptCount val="1"/>
                <c:pt idx="0">
                  <c:v>Portfolio</c:v>
                </c:pt>
              </c:strCache>
            </c:strRef>
          </c:tx>
          <c:spPr>
            <a:solidFill>
              <a:schemeClr val="accent1"/>
            </a:solidFill>
            <a:ln>
              <a:noFill/>
            </a:ln>
            <a:effectLst/>
          </c:spPr>
          <c:invertIfNegative val="0"/>
          <c:cat>
            <c:strRef>
              <c:f>Sheet1!$A$31:$A$33</c:f>
              <c:strCache>
                <c:ptCount val="3"/>
                <c:pt idx="0">
                  <c:v>Environmental contrib.</c:v>
                </c:pt>
                <c:pt idx="1">
                  <c:v>Social contrib.</c:v>
                </c:pt>
                <c:pt idx="2">
                  <c:v>Governance contrib.</c:v>
                </c:pt>
              </c:strCache>
            </c:strRef>
          </c:cat>
          <c:val>
            <c:numRef>
              <c:f>Sheet1!$B$31:$B$33</c:f>
              <c:numCache>
                <c:formatCode>General</c:formatCode>
                <c:ptCount val="3"/>
                <c:pt idx="0">
                  <c:v>4.07</c:v>
                </c:pt>
                <c:pt idx="1">
                  <c:v>4.45</c:v>
                </c:pt>
                <c:pt idx="2">
                  <c:v>2.2200000000000002</c:v>
                </c:pt>
              </c:numCache>
            </c:numRef>
          </c:val>
          <c:extLst>
            <c:ext xmlns:c16="http://schemas.microsoft.com/office/drawing/2014/chart" uri="{C3380CC4-5D6E-409C-BE32-E72D297353CC}">
              <c16:uniqueId val="{00000000-6566-4345-9863-35B8D8FB562F}"/>
            </c:ext>
          </c:extLst>
        </c:ser>
        <c:ser>
          <c:idx val="1"/>
          <c:order val="1"/>
          <c:tx>
            <c:strRef>
              <c:f>Sheet1!$C$30</c:f>
              <c:strCache>
                <c:ptCount val="1"/>
                <c:pt idx="0">
                  <c:v>Benchmark</c:v>
                </c:pt>
              </c:strCache>
            </c:strRef>
          </c:tx>
          <c:spPr>
            <a:solidFill>
              <a:schemeClr val="accent2"/>
            </a:solidFill>
            <a:ln>
              <a:noFill/>
            </a:ln>
            <a:effectLst/>
          </c:spPr>
          <c:invertIfNegative val="0"/>
          <c:cat>
            <c:strRef>
              <c:f>Sheet1!$A$31:$A$33</c:f>
              <c:strCache>
                <c:ptCount val="3"/>
                <c:pt idx="0">
                  <c:v>Environmental contrib.</c:v>
                </c:pt>
                <c:pt idx="1">
                  <c:v>Social contrib.</c:v>
                </c:pt>
                <c:pt idx="2">
                  <c:v>Governance contrib.</c:v>
                </c:pt>
              </c:strCache>
            </c:strRef>
          </c:cat>
          <c:val>
            <c:numRef>
              <c:f>Sheet1!$C$31:$C$33</c:f>
              <c:numCache>
                <c:formatCode>General</c:formatCode>
                <c:ptCount val="3"/>
                <c:pt idx="0">
                  <c:v>2.2999999999999998</c:v>
                </c:pt>
                <c:pt idx="1">
                  <c:v>1.39</c:v>
                </c:pt>
                <c:pt idx="2">
                  <c:v>0.36</c:v>
                </c:pt>
              </c:numCache>
            </c:numRef>
          </c:val>
          <c:extLst>
            <c:ext xmlns:c16="http://schemas.microsoft.com/office/drawing/2014/chart" uri="{C3380CC4-5D6E-409C-BE32-E72D297353CC}">
              <c16:uniqueId val="{00000001-6566-4345-9863-35B8D8FB562F}"/>
            </c:ext>
          </c:extLst>
        </c:ser>
        <c:dLbls>
          <c:showLegendKey val="0"/>
          <c:showVal val="0"/>
          <c:showCatName val="0"/>
          <c:showSerName val="0"/>
          <c:showPercent val="0"/>
          <c:showBubbleSize val="0"/>
        </c:dLbls>
        <c:gapWidth val="247"/>
        <c:axId val="1342370895"/>
        <c:axId val="1342371311"/>
      </c:barChart>
      <c:catAx>
        <c:axId val="1342370895"/>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1342371311"/>
        <c:crosses val="autoZero"/>
        <c:auto val="1"/>
        <c:lblAlgn val="ctr"/>
        <c:lblOffset val="100"/>
        <c:noMultiLvlLbl val="0"/>
      </c:catAx>
      <c:valAx>
        <c:axId val="1342371311"/>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342370895"/>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Breakdown of Financed MW by type of Renewable Energy</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barChart>
        <c:barDir val="col"/>
        <c:grouping val="clustered"/>
        <c:varyColors val="0"/>
        <c:ser>
          <c:idx val="0"/>
          <c:order val="0"/>
          <c:tx>
            <c:strRef>
              <c:f>Sheet1!$B$19</c:f>
              <c:strCache>
                <c:ptCount val="1"/>
                <c:pt idx="0">
                  <c:v>2021</c:v>
                </c:pt>
              </c:strCache>
            </c:strRef>
          </c:tx>
          <c:spPr>
            <a:solidFill>
              <a:schemeClr val="accent1"/>
            </a:solidFill>
            <a:ln>
              <a:noFill/>
            </a:ln>
            <a:effectLst/>
          </c:spPr>
          <c:invertIfNegative val="0"/>
          <c:cat>
            <c:strRef>
              <c:f>Sheet1!$A$20:$A$22</c:f>
              <c:strCache>
                <c:ptCount val="3"/>
                <c:pt idx="0">
                  <c:v>Wind energy</c:v>
                </c:pt>
                <c:pt idx="1">
                  <c:v>Solar energy</c:v>
                </c:pt>
                <c:pt idx="2">
                  <c:v>Others</c:v>
                </c:pt>
              </c:strCache>
            </c:strRef>
          </c:cat>
          <c:val>
            <c:numRef>
              <c:f>Sheet1!$B$20:$B$22</c:f>
              <c:numCache>
                <c:formatCode>0%</c:formatCode>
                <c:ptCount val="3"/>
                <c:pt idx="0">
                  <c:v>0.57999999999999996</c:v>
                </c:pt>
                <c:pt idx="1">
                  <c:v>0.39</c:v>
                </c:pt>
                <c:pt idx="2">
                  <c:v>0.03</c:v>
                </c:pt>
              </c:numCache>
            </c:numRef>
          </c:val>
          <c:extLst>
            <c:ext xmlns:c16="http://schemas.microsoft.com/office/drawing/2014/chart" uri="{C3380CC4-5D6E-409C-BE32-E72D297353CC}">
              <c16:uniqueId val="{00000000-4767-4EEB-A5A4-F671DA0CAB22}"/>
            </c:ext>
          </c:extLst>
        </c:ser>
        <c:ser>
          <c:idx val="1"/>
          <c:order val="1"/>
          <c:tx>
            <c:strRef>
              <c:f>Sheet1!$C$19</c:f>
              <c:strCache>
                <c:ptCount val="1"/>
                <c:pt idx="0">
                  <c:v>2022</c:v>
                </c:pt>
              </c:strCache>
            </c:strRef>
          </c:tx>
          <c:spPr>
            <a:solidFill>
              <a:schemeClr val="accent2"/>
            </a:solidFill>
            <a:ln>
              <a:noFill/>
            </a:ln>
            <a:effectLst/>
          </c:spPr>
          <c:invertIfNegative val="0"/>
          <c:cat>
            <c:strRef>
              <c:f>Sheet1!$A$20:$A$22</c:f>
              <c:strCache>
                <c:ptCount val="3"/>
                <c:pt idx="0">
                  <c:v>Wind energy</c:v>
                </c:pt>
                <c:pt idx="1">
                  <c:v>Solar energy</c:v>
                </c:pt>
                <c:pt idx="2">
                  <c:v>Others</c:v>
                </c:pt>
              </c:strCache>
            </c:strRef>
          </c:cat>
          <c:val>
            <c:numRef>
              <c:f>Sheet1!$C$20:$C$22</c:f>
              <c:numCache>
                <c:formatCode>0%</c:formatCode>
                <c:ptCount val="3"/>
                <c:pt idx="0">
                  <c:v>0.21</c:v>
                </c:pt>
                <c:pt idx="1">
                  <c:v>0.77</c:v>
                </c:pt>
                <c:pt idx="2">
                  <c:v>0.02</c:v>
                </c:pt>
              </c:numCache>
            </c:numRef>
          </c:val>
          <c:extLst>
            <c:ext xmlns:c16="http://schemas.microsoft.com/office/drawing/2014/chart" uri="{C3380CC4-5D6E-409C-BE32-E72D297353CC}">
              <c16:uniqueId val="{00000001-4767-4EEB-A5A4-F671DA0CAB22}"/>
            </c:ext>
          </c:extLst>
        </c:ser>
        <c:dLbls>
          <c:showLegendKey val="0"/>
          <c:showVal val="0"/>
          <c:showCatName val="0"/>
          <c:showSerName val="0"/>
          <c:showPercent val="0"/>
          <c:showBubbleSize val="0"/>
        </c:dLbls>
        <c:gapWidth val="267"/>
        <c:overlap val="-43"/>
        <c:axId val="1394045231"/>
        <c:axId val="1394046063"/>
      </c:barChart>
      <c:catAx>
        <c:axId val="1394045231"/>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1394046063"/>
        <c:crosses val="autoZero"/>
        <c:auto val="1"/>
        <c:lblAlgn val="ctr"/>
        <c:lblOffset val="100"/>
        <c:noMultiLvlLbl val="0"/>
      </c:catAx>
      <c:valAx>
        <c:axId val="1394046063"/>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394045231"/>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13EC86E1D9F41758E7F003CE4F3095F"/>
        <w:category>
          <w:name w:val="General"/>
          <w:gallery w:val="placeholder"/>
        </w:category>
        <w:types>
          <w:type w:val="bbPlcHdr"/>
        </w:types>
        <w:behaviors>
          <w:behavior w:val="content"/>
        </w:behaviors>
        <w:guid w:val="{2AD83F31-16D8-42BD-94DA-C0ECF135280B}"/>
      </w:docPartPr>
      <w:docPartBody>
        <w:p w:rsidR="00040286" w:rsidRDefault="001D4D15" w:rsidP="001D4D15">
          <w:pPr>
            <w:pStyle w:val="313EC86E1D9F41758E7F003CE4F3095F"/>
          </w:pPr>
          <w:r>
            <w:rPr>
              <w:color w:val="2E74B5" w:themeColor="accent1" w:themeShade="BF"/>
              <w:sz w:val="24"/>
              <w:szCs w:val="24"/>
            </w:rPr>
            <w:t>[Company name]</w:t>
          </w:r>
        </w:p>
      </w:docPartBody>
    </w:docPart>
    <w:docPart>
      <w:docPartPr>
        <w:name w:val="3F978DB03D784438B4675D7CE435B43A"/>
        <w:category>
          <w:name w:val="General"/>
          <w:gallery w:val="placeholder"/>
        </w:category>
        <w:types>
          <w:type w:val="bbPlcHdr"/>
        </w:types>
        <w:behaviors>
          <w:behavior w:val="content"/>
        </w:behaviors>
        <w:guid w:val="{0E6968A3-5FBA-4DAC-9DFC-FC86A1AB6EAD}"/>
      </w:docPartPr>
      <w:docPartBody>
        <w:p w:rsidR="00040286" w:rsidRDefault="001D4D15" w:rsidP="001D4D15">
          <w:pPr>
            <w:pStyle w:val="3F978DB03D784438B4675D7CE435B43A"/>
          </w:pPr>
          <w:r>
            <w:rPr>
              <w:rFonts w:asciiTheme="majorHAnsi" w:eastAsiaTheme="majorEastAsia" w:hAnsiTheme="majorHAnsi" w:cstheme="majorBidi"/>
              <w:color w:val="5B9BD5" w:themeColor="accent1"/>
              <w:sz w:val="88"/>
              <w:szCs w:val="88"/>
            </w:rPr>
            <w:t>[Document title]</w:t>
          </w:r>
        </w:p>
      </w:docPartBody>
    </w:docPart>
    <w:docPart>
      <w:docPartPr>
        <w:name w:val="B0A16FAFA5254921A3DB8B426F54A8DC"/>
        <w:category>
          <w:name w:val="General"/>
          <w:gallery w:val="placeholder"/>
        </w:category>
        <w:types>
          <w:type w:val="bbPlcHdr"/>
        </w:types>
        <w:behaviors>
          <w:behavior w:val="content"/>
        </w:behaviors>
        <w:guid w:val="{9D1AAAF4-8876-4D90-A53D-F6B24FF4B724}"/>
      </w:docPartPr>
      <w:docPartBody>
        <w:p w:rsidR="00040286" w:rsidRDefault="001D4D15" w:rsidP="001D4D15">
          <w:pPr>
            <w:pStyle w:val="B0A16FAFA5254921A3DB8B426F54A8DC"/>
          </w:pPr>
          <w:r>
            <w:rPr>
              <w:color w:val="2E74B5" w:themeColor="accent1" w:themeShade="BF"/>
              <w:sz w:val="24"/>
              <w:szCs w:val="24"/>
            </w:rPr>
            <w:t>[Document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4D15"/>
    <w:rsid w:val="0002445A"/>
    <w:rsid w:val="00040286"/>
    <w:rsid w:val="001A4048"/>
    <w:rsid w:val="001D4D15"/>
    <w:rsid w:val="00382076"/>
    <w:rsid w:val="0047654A"/>
    <w:rsid w:val="00492269"/>
    <w:rsid w:val="007232FB"/>
    <w:rsid w:val="007D23F9"/>
    <w:rsid w:val="009A3DBA"/>
    <w:rsid w:val="00AF5DFF"/>
    <w:rsid w:val="00BD0A45"/>
    <w:rsid w:val="00D053AA"/>
    <w:rsid w:val="00E779F9"/>
    <w:rsid w:val="00FB01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13EC86E1D9F41758E7F003CE4F3095F">
    <w:name w:val="313EC86E1D9F41758E7F003CE4F3095F"/>
    <w:rsid w:val="001D4D15"/>
  </w:style>
  <w:style w:type="paragraph" w:customStyle="1" w:styleId="3F978DB03D784438B4675D7CE435B43A">
    <w:name w:val="3F978DB03D784438B4675D7CE435B43A"/>
    <w:rsid w:val="001D4D15"/>
  </w:style>
  <w:style w:type="paragraph" w:customStyle="1" w:styleId="B0A16FAFA5254921A3DB8B426F54A8DC">
    <w:name w:val="B0A16FAFA5254921A3DB8B426F54A8DC"/>
    <w:rsid w:val="001D4D15"/>
  </w:style>
  <w:style w:type="paragraph" w:customStyle="1" w:styleId="DC6A8573D2CD4AEE888975A75130A01F">
    <w:name w:val="DC6A8573D2CD4AEE888975A75130A01F"/>
    <w:rsid w:val="001D4D15"/>
  </w:style>
  <w:style w:type="paragraph" w:customStyle="1" w:styleId="908DFB0CA1A147BF877D88B9467F5A36">
    <w:name w:val="908DFB0CA1A147BF877D88B9467F5A36"/>
    <w:rsid w:val="001D4D1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Mac23</b:Tag>
    <b:SourceType>InternetSite</b:SourceType>
    <b:Guid>{48593864-4121-4C3A-A62E-237590E2BE47}</b:Guid>
    <b:Title>Macrotrends - The Premier Research Platform for Long Term Investors</b:Title>
    <b:Year>2023</b:Year>
    <b:Author>
      <b:Author>
        <b:Corporate>Macrotrends</b:Corporate>
      </b:Author>
    </b:Author>
    <b:YearAccessed>2023</b:YearAccessed>
    <b:MonthAccessed>October </b:MonthAccessed>
    <b:DayAccessed>11</b:DayAccessed>
    <b:URL>https://www.macrotrends.net/</b:URL>
    <b:RefOrder>30</b:RefOrder>
  </b:Source>
</b:Sources>
</file>

<file path=customXml/itemProps1.xml><?xml version="1.0" encoding="utf-8"?>
<ds:datastoreItem xmlns:ds="http://schemas.openxmlformats.org/officeDocument/2006/customXml" ds:itemID="{C08F201F-99F9-4F9D-A117-A1DEC8E783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100</Pages>
  <Words>20832</Words>
  <Characters>129578</Characters>
  <Application>Microsoft Office Word</Application>
  <DocSecurity>0</DocSecurity>
  <Lines>2879</Lines>
  <Paragraphs>1016</Paragraphs>
  <ScaleCrop>false</ScaleCrop>
  <HeadingPairs>
    <vt:vector size="2" baseType="variant">
      <vt:variant>
        <vt:lpstr>Title</vt:lpstr>
      </vt:variant>
      <vt:variant>
        <vt:i4>1</vt:i4>
      </vt:variant>
    </vt:vector>
  </HeadingPairs>
  <TitlesOfParts>
    <vt:vector size="1" baseType="lpstr">
      <vt:lpstr>ESG Performance Management through Financial Investment in the European Context.</vt:lpstr>
    </vt:vector>
  </TitlesOfParts>
  <Company>Class Details:</Company>
  <LinksUpToDate>false</LinksUpToDate>
  <CharactersWithSpaces>149394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ESG Performance Management through Financial Investment in the European Context.</dc:title>
  <dc:subject>Student Name:</dc:subject>
  <dc:creator>admin</dc:creator>
  <cp:keywords/>
  <dc:description/>
  <cp:lastModifiedBy>admin</cp:lastModifiedBy>
  <cp:revision>66</cp:revision>
  <dcterms:created xsi:type="dcterms:W3CDTF">2024-01-14T09:15:00Z</dcterms:created>
  <dcterms:modified xsi:type="dcterms:W3CDTF">2024-01-22T15:02:00Z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c96c9f2b479e6f1c11fcf7b49f505b5082a77e479678bb1522d456cef767864e</vt:lpwstr>
  </property>
</Properties>
</file>